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4C05B80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05DC681"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263" w:type="pct"/>
        <w:tblCellMar>
          <w:left w:w="10" w:type="dxa"/>
          <w:right w:w="10" w:type="dxa"/>
        </w:tblCellMar>
        <w:tblLook w:val="04A0" w:firstRow="1" w:lastRow="0" w:firstColumn="1" w:lastColumn="0" w:noHBand="0" w:noVBand="1"/>
      </w:tblPr>
      <w:tblGrid>
        <w:gridCol w:w="6517"/>
        <w:gridCol w:w="3468"/>
      </w:tblGrid>
      <w:tr w:rsidR="00E66558" w14:paraId="2A7D54B7"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4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43A962E" w:rsidR="00E66558" w:rsidRDefault="00FA14A8" w:rsidP="00817653">
            <w:pPr>
              <w:pStyle w:val="TableRow"/>
              <w:ind w:left="0"/>
            </w:pPr>
            <w:r>
              <w:t>Worth Valley Primary School</w:t>
            </w:r>
          </w:p>
        </w:tc>
      </w:tr>
      <w:tr w:rsidR="00E66558" w14:paraId="2A7D54BD"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7C39760" w:rsidR="00E66558" w:rsidRDefault="009928F3" w:rsidP="00FA14A8">
            <w:pPr>
              <w:pStyle w:val="TableRow"/>
              <w:ind w:left="0"/>
            </w:pPr>
            <w:r>
              <w:t>2</w:t>
            </w:r>
            <w:r w:rsidR="00F16BB5">
              <w:t>35</w:t>
            </w:r>
          </w:p>
        </w:tc>
      </w:tr>
      <w:tr w:rsidR="00E66558" w14:paraId="2A7D54C0"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D56C1A4" w:rsidR="00E66558" w:rsidRDefault="00465E08" w:rsidP="00D97C65">
            <w:pPr>
              <w:pStyle w:val="TableRow"/>
              <w:ind w:left="0"/>
            </w:pPr>
            <w:r w:rsidRPr="00465E08">
              <w:rPr>
                <w:color w:val="auto"/>
              </w:rPr>
              <w:t>5</w:t>
            </w:r>
            <w:r w:rsidR="00F16BB5">
              <w:rPr>
                <w:color w:val="auto"/>
              </w:rPr>
              <w:t>6</w:t>
            </w:r>
            <w:r w:rsidRPr="00465E08">
              <w:rPr>
                <w:color w:val="auto"/>
              </w:rPr>
              <w:t>%</w:t>
            </w:r>
          </w:p>
        </w:tc>
      </w:tr>
      <w:tr w:rsidR="00E66558" w14:paraId="2A7D54C3"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04EAA08" w:rsidR="00E66558" w:rsidRDefault="00E64E0C">
            <w:pPr>
              <w:pStyle w:val="TableRow"/>
            </w:pPr>
            <w:r>
              <w:t>2024-2027</w:t>
            </w:r>
          </w:p>
        </w:tc>
      </w:tr>
      <w:tr w:rsidR="00E66558" w14:paraId="2A7D54C6"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85E7616" w:rsidR="00E66558" w:rsidRDefault="00465E08" w:rsidP="00951229">
            <w:pPr>
              <w:pStyle w:val="TableRow"/>
            </w:pPr>
            <w:r w:rsidRPr="00465E08">
              <w:rPr>
                <w:color w:val="auto"/>
              </w:rPr>
              <w:t>01/09/202</w:t>
            </w:r>
            <w:r w:rsidR="00CD66D8">
              <w:rPr>
                <w:color w:val="auto"/>
              </w:rPr>
              <w:t>5</w:t>
            </w:r>
          </w:p>
        </w:tc>
      </w:tr>
      <w:tr w:rsidR="00E66558" w14:paraId="2A7D54C9"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B83BA12" w:rsidR="00E66558" w:rsidRDefault="00D97C65" w:rsidP="00951229">
            <w:pPr>
              <w:pStyle w:val="TableRow"/>
            </w:pPr>
            <w:r>
              <w:t>01/09/202</w:t>
            </w:r>
            <w:r w:rsidR="00CD66D8">
              <w:t>6</w:t>
            </w:r>
            <w:bookmarkStart w:id="14" w:name="_GoBack"/>
            <w:bookmarkEnd w:id="14"/>
          </w:p>
        </w:tc>
      </w:tr>
      <w:tr w:rsidR="00E66558" w14:paraId="2A7D54CC"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94A9F93" w:rsidR="00E66558" w:rsidRDefault="00817653" w:rsidP="00973042">
            <w:pPr>
              <w:pStyle w:val="TableRow"/>
              <w:ind w:left="0"/>
            </w:pPr>
            <w:r>
              <w:t>Yvonne Brown (CEO)</w:t>
            </w:r>
          </w:p>
        </w:tc>
      </w:tr>
      <w:tr w:rsidR="00E66558" w14:paraId="2A7D54CF"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787ACE0" w:rsidR="00E66558" w:rsidRDefault="00FA14A8" w:rsidP="00973042">
            <w:pPr>
              <w:pStyle w:val="TableRow"/>
              <w:ind w:left="0"/>
            </w:pPr>
            <w:r>
              <w:t>Ceinwen Lodge</w:t>
            </w:r>
          </w:p>
        </w:tc>
      </w:tr>
      <w:tr w:rsidR="00E66558" w14:paraId="2A7D54D2" w14:textId="77777777" w:rsidTr="00FA14A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C9A387B" w:rsidR="00E66558" w:rsidRDefault="00951229" w:rsidP="00951229">
            <w:pPr>
              <w:pStyle w:val="TableRow"/>
              <w:ind w:left="0"/>
            </w:pPr>
            <w:r>
              <w:t>Sam Quigley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985" w:type="dxa"/>
        <w:tblCellMar>
          <w:left w:w="10" w:type="dxa"/>
          <w:right w:w="10" w:type="dxa"/>
        </w:tblCellMar>
        <w:tblLook w:val="04A0" w:firstRow="1" w:lastRow="0" w:firstColumn="1" w:lastColumn="0" w:noHBand="0" w:noVBand="1"/>
      </w:tblPr>
      <w:tblGrid>
        <w:gridCol w:w="6516"/>
        <w:gridCol w:w="3469"/>
      </w:tblGrid>
      <w:tr w:rsidR="00E66558" w14:paraId="2A7D54D6" w14:textId="77777777" w:rsidTr="00FE178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4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FE178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F9CE492" w:rsidR="00E66558" w:rsidRDefault="009D71E8">
            <w:pPr>
              <w:pStyle w:val="TableRow"/>
            </w:pPr>
            <w:r>
              <w:t>£</w:t>
            </w:r>
            <w:r w:rsidR="00E64E0C">
              <w:t>158,360</w:t>
            </w:r>
          </w:p>
        </w:tc>
      </w:tr>
      <w:tr w:rsidR="00942109" w14:paraId="2A7D54DC" w14:textId="77777777" w:rsidTr="00FE178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5BDB3ECE" w:rsidR="00942109" w:rsidRPr="00951229" w:rsidRDefault="00942109" w:rsidP="00942109">
            <w:pPr>
              <w:pStyle w:val="TableRow"/>
            </w:pPr>
            <w:r w:rsidRPr="00951229">
              <w:t>Recovery premium funding allocation this academic year</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A750C1C" w:rsidR="00942109" w:rsidRPr="00951229" w:rsidRDefault="00FA14A8" w:rsidP="00951229">
            <w:pPr>
              <w:pStyle w:val="TableRow"/>
            </w:pPr>
            <w:r>
              <w:t>£</w:t>
            </w:r>
            <w:r w:rsidR="00E64E0C">
              <w:t>0</w:t>
            </w:r>
          </w:p>
        </w:tc>
      </w:tr>
      <w:tr w:rsidR="00942109" w14:paraId="2A7D54DF" w14:textId="77777777" w:rsidTr="00FE178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6254ED41" w:rsidR="00942109" w:rsidRDefault="00942109" w:rsidP="00942109">
            <w:pPr>
              <w:pStyle w:val="TableRow"/>
            </w:pPr>
            <w:r>
              <w:t>Pupil premium funding carried forward from previous years (enter £0 if not applicable)</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A74E083" w:rsidR="00942109" w:rsidRDefault="00942109" w:rsidP="00942109">
            <w:pPr>
              <w:pStyle w:val="TableRow"/>
            </w:pPr>
            <w:r>
              <w:t>£0</w:t>
            </w:r>
          </w:p>
        </w:tc>
      </w:tr>
      <w:tr w:rsidR="00942109" w14:paraId="2A7D54E3" w14:textId="77777777" w:rsidTr="00FE178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B517" w14:textId="77777777" w:rsidR="00942109" w:rsidRDefault="00942109" w:rsidP="00942109">
            <w:pPr>
              <w:pStyle w:val="TableRow"/>
              <w:rPr>
                <w:b/>
              </w:rPr>
            </w:pPr>
            <w:r>
              <w:rPr>
                <w:b/>
              </w:rPr>
              <w:t>Total budget for this academic year</w:t>
            </w:r>
          </w:p>
          <w:p w14:paraId="2A7D54E1" w14:textId="59AD1F07" w:rsidR="00942109" w:rsidRDefault="00942109" w:rsidP="00942109">
            <w:pPr>
              <w:pStyle w:val="TableRow"/>
            </w:pPr>
            <w:r>
              <w:t>If your school is an academy in a trust that pools this funding, state the amount available to your school this academic year</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34812C9" w:rsidR="00942109" w:rsidRDefault="00942109" w:rsidP="00FA14A8">
            <w:pPr>
              <w:pStyle w:val="TableRow"/>
              <w:tabs>
                <w:tab w:val="center" w:pos="1377"/>
              </w:tabs>
            </w:pPr>
            <w:r>
              <w:t>£</w:t>
            </w:r>
            <w:r w:rsidR="00E64E0C">
              <w:t>158,360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985" w:type="dxa"/>
        <w:tblCellMar>
          <w:left w:w="10" w:type="dxa"/>
          <w:right w:w="10" w:type="dxa"/>
        </w:tblCellMar>
        <w:tblLook w:val="04A0" w:firstRow="1" w:lastRow="0" w:firstColumn="1" w:lastColumn="0" w:noHBand="0" w:noVBand="1"/>
      </w:tblPr>
      <w:tblGrid>
        <w:gridCol w:w="9985"/>
      </w:tblGrid>
      <w:tr w:rsidR="00E66558" w14:paraId="2A7D54EA" w14:textId="77777777" w:rsidTr="00FB5CD8">
        <w:tc>
          <w:tcPr>
            <w:tcW w:w="9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CABA" w14:textId="050F18FE" w:rsidR="00EE7A3A" w:rsidRPr="00E27862" w:rsidRDefault="00EE7A3A" w:rsidP="00EE7A3A">
            <w:pPr>
              <w:spacing w:before="120"/>
              <w:rPr>
                <w:rFonts w:cs="Arial"/>
                <w:iCs/>
                <w:color w:val="auto"/>
                <w:lang w:val="en-US"/>
              </w:rPr>
            </w:pPr>
            <w:r>
              <w:rPr>
                <w:rFonts w:cs="Arial"/>
                <w:iCs/>
                <w:color w:val="auto"/>
              </w:rPr>
              <w:t xml:space="preserve">Worth Valley Primary School </w:t>
            </w:r>
            <w:r w:rsidR="00E64E0C">
              <w:rPr>
                <w:rFonts w:cs="Arial"/>
                <w:iCs/>
                <w:color w:val="auto"/>
              </w:rPr>
              <w:t>is</w:t>
            </w:r>
            <w:r>
              <w:rPr>
                <w:rFonts w:cs="Arial"/>
                <w:iCs/>
                <w:color w:val="auto"/>
              </w:rPr>
              <w:t xml:space="preserve"> determined</w:t>
            </w:r>
            <w:r w:rsidRPr="00E27862">
              <w:rPr>
                <w:rFonts w:cs="Arial"/>
                <w:iCs/>
                <w:color w:val="auto"/>
              </w:rPr>
              <w:t xml:space="preserve"> that all pupils, irrespective of their background or the challenges they face, make good</w:t>
            </w:r>
            <w:r w:rsidR="00D97C65">
              <w:rPr>
                <w:rFonts w:cs="Arial"/>
                <w:iCs/>
                <w:color w:val="auto"/>
              </w:rPr>
              <w:t xml:space="preserve"> or better</w:t>
            </w:r>
            <w:r w:rsidRPr="00E27862">
              <w:rPr>
                <w:rFonts w:cs="Arial"/>
                <w:iCs/>
                <w:color w:val="auto"/>
              </w:rPr>
              <w:t xml:space="preserve"> progress and achieve high attainment across all subject areas. </w:t>
            </w:r>
            <w:r>
              <w:rPr>
                <w:rFonts w:cs="Arial"/>
                <w:iCs/>
                <w:color w:val="auto"/>
              </w:rPr>
              <w:t xml:space="preserve"> Regardless of starting point, </w:t>
            </w:r>
            <w:r>
              <w:rPr>
                <w:rFonts w:cs="Arial"/>
                <w:iCs/>
                <w:color w:val="auto"/>
                <w:lang w:val="en-US"/>
              </w:rPr>
              <w:t>t</w:t>
            </w:r>
            <w:r w:rsidRPr="00E27862">
              <w:rPr>
                <w:rFonts w:cs="Arial"/>
                <w:iCs/>
                <w:color w:val="auto"/>
                <w:lang w:val="en-US"/>
              </w:rPr>
              <w:t xml:space="preserve">he focus of our pupil premium strategy is to support disadvantaged pupils to achieve that goal, including progress for those who are already high attainers. </w:t>
            </w:r>
          </w:p>
          <w:p w14:paraId="27600528" w14:textId="03660A15" w:rsidR="00EE7A3A" w:rsidRPr="00E27862" w:rsidRDefault="00EE7A3A" w:rsidP="00EE7A3A">
            <w:pPr>
              <w:spacing w:before="120"/>
              <w:rPr>
                <w:rFonts w:cs="Arial"/>
                <w:iCs/>
                <w:color w:val="auto"/>
              </w:rPr>
            </w:pPr>
            <w:r w:rsidRPr="00E27862">
              <w:rPr>
                <w:rFonts w:cs="Arial"/>
                <w:iCs/>
                <w:color w:val="auto"/>
                <w:lang w:val="en-US"/>
              </w:rPr>
              <w:t>We will consider the challenges faced by vulnerable pupils, such a</w:t>
            </w:r>
            <w:r>
              <w:rPr>
                <w:rFonts w:cs="Arial"/>
                <w:iCs/>
                <w:color w:val="auto"/>
                <w:lang w:val="en-US"/>
              </w:rPr>
              <w:t>s those who have a social worker or whose family receive support from wider external agencies</w:t>
            </w:r>
            <w:r w:rsidRPr="00E27862">
              <w:rPr>
                <w:rFonts w:cs="Arial"/>
                <w:iCs/>
                <w:color w:val="auto"/>
                <w:lang w:val="en-US"/>
              </w:rPr>
              <w:t>. The activity we have outlined in this statement is also intended to support their needs, regardless of whether they are disadvantaged or not.</w:t>
            </w:r>
          </w:p>
          <w:p w14:paraId="29B2A33A" w14:textId="7C9D788E" w:rsidR="00EE7A3A" w:rsidRPr="00E27862" w:rsidRDefault="00EE7A3A" w:rsidP="00EE7A3A">
            <w:pPr>
              <w:rPr>
                <w:iCs/>
                <w:color w:val="auto"/>
                <w:lang w:val="en-US"/>
              </w:rPr>
            </w:pPr>
            <w:r w:rsidRPr="00E27862">
              <w:rPr>
                <w:rFonts w:cs="Arial"/>
                <w:iCs/>
                <w:color w:val="auto"/>
                <w:lang w:val="en-US"/>
              </w:rPr>
              <w:t>High-quality</w:t>
            </w:r>
            <w:r>
              <w:rPr>
                <w:rFonts w:cs="Arial"/>
                <w:iCs/>
                <w:color w:val="auto"/>
                <w:lang w:val="en-US"/>
              </w:rPr>
              <w:t xml:space="preserve"> first</w:t>
            </w:r>
            <w:r w:rsidRPr="00E27862">
              <w:rPr>
                <w:rFonts w:cs="Arial"/>
                <w:iCs/>
                <w:color w:val="auto"/>
                <w:lang w:val="en-US"/>
              </w:rPr>
              <w:t xml:space="preserve">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6079C06D" w14:textId="77777777" w:rsidR="00EE7A3A" w:rsidRPr="00E27862" w:rsidRDefault="00EE7A3A" w:rsidP="00EE7A3A">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39D811D4" w14:textId="16D2BB04" w:rsidR="00EE7A3A" w:rsidRDefault="00EE7A3A" w:rsidP="00EE7A3A">
            <w:pPr>
              <w:numPr>
                <w:ilvl w:val="0"/>
                <w:numId w:val="13"/>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2D5D4346" w14:textId="77777777" w:rsidR="009928F3" w:rsidRPr="00E27862" w:rsidRDefault="009928F3" w:rsidP="009928F3">
            <w:pPr>
              <w:suppressAutoHyphens w:val="0"/>
              <w:autoSpaceDN/>
              <w:ind w:left="720"/>
              <w:contextualSpacing/>
              <w:rPr>
                <w:rFonts w:cs="Arial"/>
                <w:iCs/>
                <w:color w:val="auto"/>
                <w:lang w:val="en-US"/>
              </w:rPr>
            </w:pPr>
          </w:p>
          <w:p w14:paraId="3130D200" w14:textId="77777777" w:rsidR="00EE7A3A" w:rsidRPr="00E27862" w:rsidRDefault="00EE7A3A" w:rsidP="00EE7A3A">
            <w:pPr>
              <w:numPr>
                <w:ilvl w:val="0"/>
                <w:numId w:val="13"/>
              </w:numPr>
              <w:suppressAutoHyphens w:val="0"/>
              <w:autoSpaceDN/>
              <w:contextualSpacing/>
              <w:rPr>
                <w:rFonts w:cs="Arial"/>
                <w:iCs/>
                <w:color w:val="auto"/>
                <w:lang w:val="en-US"/>
              </w:rPr>
            </w:pPr>
            <w:r w:rsidRPr="00E27862">
              <w:rPr>
                <w:rFonts w:cs="Arial"/>
                <w:color w:val="auto"/>
              </w:rPr>
              <w:t>act early to intervene at the point need is identified</w:t>
            </w:r>
          </w:p>
          <w:p w14:paraId="2A7D54E9" w14:textId="38F517A0" w:rsidR="00E66558" w:rsidRPr="00973042" w:rsidRDefault="00EE7A3A" w:rsidP="00EE7A3A">
            <w:pPr>
              <w:pStyle w:val="ListParagraph"/>
              <w:numPr>
                <w:ilvl w:val="0"/>
                <w:numId w:val="13"/>
              </w:numPr>
              <w:rPr>
                <w:i/>
                <w:iCs/>
              </w:rPr>
            </w:pPr>
            <w:r w:rsidRPr="00E27862">
              <w:rPr>
                <w:rFonts w:cs="Arial"/>
                <w:color w:val="auto"/>
              </w:rPr>
              <w:t>adopt a whole school approach in which all staff take responsibility for disadvantaged pupils’ outcomes and raise expectations of what they can achieve</w:t>
            </w:r>
          </w:p>
        </w:tc>
      </w:tr>
    </w:tbl>
    <w:p w14:paraId="2A7D54EB" w14:textId="7C79D7F1"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462" w:type="pct"/>
        <w:tblInd w:w="-289" w:type="dxa"/>
        <w:tblCellMar>
          <w:left w:w="10" w:type="dxa"/>
          <w:right w:w="10" w:type="dxa"/>
        </w:tblCellMar>
        <w:tblLook w:val="04A0" w:firstRow="1" w:lastRow="0" w:firstColumn="1" w:lastColumn="0" w:noHBand="0" w:noVBand="1"/>
      </w:tblPr>
      <w:tblGrid>
        <w:gridCol w:w="1766"/>
        <w:gridCol w:w="8597"/>
      </w:tblGrid>
      <w:tr w:rsidR="00E66558" w14:paraId="2A7D54EF"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5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E7A3A" w14:paraId="01D86B7D"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736F" w14:textId="4391564D" w:rsidR="00EE7A3A" w:rsidRDefault="00EE7A3A">
            <w:pPr>
              <w:pStyle w:val="TableRow"/>
              <w:rPr>
                <w:sz w:val="22"/>
                <w:szCs w:val="22"/>
              </w:rPr>
            </w:pPr>
            <w:r>
              <w:rPr>
                <w:sz w:val="22"/>
                <w:szCs w:val="22"/>
              </w:rPr>
              <w:t>1</w:t>
            </w:r>
          </w:p>
        </w:tc>
        <w:tc>
          <w:tcPr>
            <w:tcW w:w="8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106F" w14:textId="2FB873A2" w:rsidR="00EE7A3A" w:rsidRPr="00AE1289" w:rsidRDefault="00EE7A3A" w:rsidP="00EE7A3A">
            <w:pPr>
              <w:pStyle w:val="NoSpacing"/>
              <w:rPr>
                <w:rFonts w:ascii="Arial" w:hAnsi="Arial" w:cs="Arial"/>
                <w:sz w:val="24"/>
                <w:szCs w:val="24"/>
              </w:rPr>
            </w:pPr>
            <w:r>
              <w:rPr>
                <w:rFonts w:ascii="Arial" w:hAnsi="Arial" w:cs="Arial"/>
                <w:sz w:val="24"/>
                <w:szCs w:val="24"/>
              </w:rPr>
              <w:t>Persistent absence and/or frequent lateness; resulting in a reduction in</w:t>
            </w:r>
            <w:r w:rsidRPr="00AE1289">
              <w:rPr>
                <w:rFonts w:ascii="Arial" w:hAnsi="Arial" w:cs="Arial"/>
                <w:sz w:val="24"/>
                <w:szCs w:val="24"/>
              </w:rPr>
              <w:t xml:space="preserve"> the </w:t>
            </w:r>
            <w:r w:rsidR="009928F3">
              <w:rPr>
                <w:rFonts w:ascii="Arial" w:hAnsi="Arial" w:cs="Arial"/>
                <w:sz w:val="24"/>
                <w:szCs w:val="24"/>
              </w:rPr>
              <w:t xml:space="preserve">   </w:t>
            </w:r>
            <w:r w:rsidRPr="00AE1289">
              <w:rPr>
                <w:rFonts w:ascii="Arial" w:hAnsi="Arial" w:cs="Arial"/>
                <w:sz w:val="24"/>
                <w:szCs w:val="24"/>
              </w:rPr>
              <w:t>impact of learning</w:t>
            </w:r>
            <w:r>
              <w:rPr>
                <w:rFonts w:ascii="Arial" w:hAnsi="Arial" w:cs="Arial"/>
                <w:sz w:val="24"/>
                <w:szCs w:val="24"/>
              </w:rPr>
              <w:t xml:space="preserve"> and sequential skills acquisition than that of their peers</w:t>
            </w:r>
          </w:p>
        </w:tc>
      </w:tr>
      <w:tr w:rsidR="00E66558" w14:paraId="2A7D54F2"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39A8AFF9" w:rsidR="00E66558" w:rsidRDefault="00EE7A3A">
            <w:pPr>
              <w:pStyle w:val="TableRow"/>
              <w:rPr>
                <w:sz w:val="22"/>
                <w:szCs w:val="22"/>
              </w:rPr>
            </w:pPr>
            <w:r>
              <w:rPr>
                <w:sz w:val="22"/>
                <w:szCs w:val="22"/>
              </w:rPr>
              <w:lastRenderedPageBreak/>
              <w:t>2</w:t>
            </w:r>
          </w:p>
        </w:tc>
        <w:tc>
          <w:tcPr>
            <w:tcW w:w="8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0A23F45" w:rsidR="00E66558" w:rsidRPr="00AE1289" w:rsidRDefault="00AE1289" w:rsidP="00AE1289">
            <w:pPr>
              <w:pStyle w:val="NoSpacing"/>
              <w:rPr>
                <w:rFonts w:ascii="Arial" w:hAnsi="Arial" w:cs="Arial"/>
                <w:b/>
                <w:sz w:val="24"/>
                <w:szCs w:val="24"/>
              </w:rPr>
            </w:pPr>
            <w:r w:rsidRPr="00AE1289">
              <w:rPr>
                <w:rFonts w:ascii="Arial" w:hAnsi="Arial" w:cs="Arial"/>
                <w:sz w:val="24"/>
                <w:szCs w:val="24"/>
              </w:rPr>
              <w:t xml:space="preserve">Social, emotional and mental health needs that impact on learning and  </w:t>
            </w:r>
            <w:r w:rsidR="009928F3">
              <w:rPr>
                <w:rFonts w:ascii="Arial" w:hAnsi="Arial" w:cs="Arial"/>
                <w:sz w:val="24"/>
                <w:szCs w:val="24"/>
              </w:rPr>
              <w:t xml:space="preserve">        </w:t>
            </w:r>
            <w:r w:rsidRPr="00AE1289">
              <w:rPr>
                <w:rFonts w:ascii="Arial" w:hAnsi="Arial" w:cs="Arial"/>
                <w:sz w:val="24"/>
                <w:szCs w:val="24"/>
              </w:rPr>
              <w:t>development</w:t>
            </w:r>
          </w:p>
        </w:tc>
      </w:tr>
      <w:tr w:rsidR="00E66558" w14:paraId="2A7D54F5"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773C1CB" w:rsidR="00E66558" w:rsidRDefault="00EE7A3A">
            <w:pPr>
              <w:pStyle w:val="TableRow"/>
              <w:rPr>
                <w:sz w:val="22"/>
                <w:szCs w:val="22"/>
              </w:rPr>
            </w:pPr>
            <w:r>
              <w:rPr>
                <w:sz w:val="22"/>
                <w:szCs w:val="22"/>
              </w:rPr>
              <w:t>3</w:t>
            </w:r>
          </w:p>
        </w:tc>
        <w:tc>
          <w:tcPr>
            <w:tcW w:w="8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188E4CE" w:rsidR="00E66558" w:rsidRPr="00AE1289" w:rsidRDefault="00EE7A3A" w:rsidP="00AE1289">
            <w:pPr>
              <w:pStyle w:val="NoSpacing"/>
              <w:rPr>
                <w:rFonts w:ascii="Arial" w:hAnsi="Arial" w:cs="Arial"/>
                <w:b/>
                <w:sz w:val="24"/>
                <w:szCs w:val="24"/>
              </w:rPr>
            </w:pPr>
            <w:r w:rsidRPr="00AE1289">
              <w:rPr>
                <w:rFonts w:ascii="Arial" w:hAnsi="Arial" w:cs="Arial"/>
                <w:sz w:val="24"/>
                <w:szCs w:val="24"/>
              </w:rPr>
              <w:t>Less advanced early development; particularly</w:t>
            </w:r>
            <w:r w:rsidR="00F16BB5">
              <w:rPr>
                <w:rFonts w:ascii="Arial" w:hAnsi="Arial" w:cs="Arial"/>
                <w:sz w:val="24"/>
                <w:szCs w:val="24"/>
              </w:rPr>
              <w:t xml:space="preserve"> in</w:t>
            </w:r>
            <w:r w:rsidRPr="00AE1289">
              <w:rPr>
                <w:rFonts w:ascii="Arial" w:hAnsi="Arial" w:cs="Arial"/>
                <w:sz w:val="24"/>
                <w:szCs w:val="24"/>
              </w:rPr>
              <w:t xml:space="preserve"> regard to speech</w:t>
            </w:r>
            <w:r w:rsidR="00F47C9D">
              <w:rPr>
                <w:rFonts w:ascii="Arial" w:hAnsi="Arial" w:cs="Arial"/>
                <w:sz w:val="24"/>
                <w:szCs w:val="24"/>
              </w:rPr>
              <w:t>,</w:t>
            </w:r>
            <w:r w:rsidR="00F16BB5">
              <w:rPr>
                <w:rFonts w:ascii="Arial" w:hAnsi="Arial" w:cs="Arial"/>
                <w:sz w:val="24"/>
                <w:szCs w:val="24"/>
              </w:rPr>
              <w:t xml:space="preserve"> </w:t>
            </w:r>
            <w:r w:rsidRPr="00AE1289">
              <w:rPr>
                <w:rFonts w:ascii="Arial" w:hAnsi="Arial" w:cs="Arial"/>
                <w:sz w:val="24"/>
                <w:szCs w:val="24"/>
              </w:rPr>
              <w:t>language and social skills that impact their future years</w:t>
            </w:r>
          </w:p>
        </w:tc>
      </w:tr>
      <w:tr w:rsidR="00E66558" w14:paraId="2A7D54F8"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4EDE5685" w:rsidR="00E66558" w:rsidRDefault="00EE7A3A">
            <w:pPr>
              <w:pStyle w:val="TableRow"/>
              <w:rPr>
                <w:sz w:val="22"/>
                <w:szCs w:val="22"/>
              </w:rPr>
            </w:pPr>
            <w:r>
              <w:rPr>
                <w:sz w:val="22"/>
                <w:szCs w:val="22"/>
              </w:rPr>
              <w:t>4</w:t>
            </w:r>
          </w:p>
        </w:tc>
        <w:tc>
          <w:tcPr>
            <w:tcW w:w="8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A4EC051" w:rsidR="00E66558" w:rsidRPr="00AE1289" w:rsidRDefault="00AE1289" w:rsidP="00AE1289">
            <w:pPr>
              <w:pStyle w:val="NoSpacing"/>
              <w:rPr>
                <w:rFonts w:ascii="Arial" w:hAnsi="Arial" w:cs="Arial"/>
                <w:sz w:val="24"/>
                <w:szCs w:val="24"/>
              </w:rPr>
            </w:pPr>
            <w:r w:rsidRPr="00AE1289">
              <w:rPr>
                <w:rFonts w:ascii="Arial" w:hAnsi="Arial" w:cs="Arial"/>
                <w:sz w:val="24"/>
                <w:szCs w:val="24"/>
              </w:rPr>
              <w:t>Historical gaps in learning that require addressing so children can access the curriculum and achieve as well as their peers</w:t>
            </w:r>
          </w:p>
        </w:tc>
      </w:tr>
      <w:tr w:rsidR="00E66558" w14:paraId="2A7D54FB"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2AA1AFC" w:rsidR="00E66558" w:rsidRDefault="00EE7A3A">
            <w:pPr>
              <w:pStyle w:val="TableRow"/>
              <w:rPr>
                <w:sz w:val="22"/>
                <w:szCs w:val="22"/>
              </w:rPr>
            </w:pPr>
            <w:r>
              <w:rPr>
                <w:sz w:val="22"/>
                <w:szCs w:val="22"/>
              </w:rPr>
              <w:t>5</w:t>
            </w:r>
          </w:p>
        </w:tc>
        <w:tc>
          <w:tcPr>
            <w:tcW w:w="8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4D55E2B" w:rsidR="00E66558" w:rsidRPr="00AE1289" w:rsidRDefault="00EE7A3A" w:rsidP="00AE1289">
            <w:pPr>
              <w:pStyle w:val="NoSpacing"/>
              <w:rPr>
                <w:rFonts w:ascii="Arial" w:hAnsi="Arial" w:cs="Arial"/>
                <w:sz w:val="24"/>
                <w:szCs w:val="24"/>
              </w:rPr>
            </w:pPr>
            <w:r w:rsidRPr="00AE1289">
              <w:rPr>
                <w:rFonts w:ascii="Arial" w:hAnsi="Arial" w:cs="Arial"/>
                <w:sz w:val="24"/>
                <w:szCs w:val="24"/>
              </w:rPr>
              <w:t>Challenging out of school environments/situations that mean children are less ready to learn when in school</w:t>
            </w:r>
          </w:p>
        </w:tc>
      </w:tr>
      <w:tr w:rsidR="00E66558" w14:paraId="2A7D54FE"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2DA1A41" w:rsidR="00E66558" w:rsidRDefault="00EE7A3A">
            <w:pPr>
              <w:pStyle w:val="TableRow"/>
              <w:rPr>
                <w:sz w:val="22"/>
                <w:szCs w:val="22"/>
              </w:rPr>
            </w:pPr>
            <w:bookmarkStart w:id="17" w:name="_Toc443397160"/>
            <w:r>
              <w:rPr>
                <w:sz w:val="22"/>
                <w:szCs w:val="22"/>
              </w:rPr>
              <w:t>6</w:t>
            </w:r>
          </w:p>
        </w:tc>
        <w:tc>
          <w:tcPr>
            <w:tcW w:w="8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02C8501" w:rsidR="00E66558" w:rsidRPr="00AE1289" w:rsidRDefault="00AE1289" w:rsidP="00AE1289">
            <w:pPr>
              <w:pStyle w:val="NoSpacing"/>
              <w:rPr>
                <w:rFonts w:ascii="Arial" w:hAnsi="Arial" w:cs="Arial"/>
                <w:sz w:val="24"/>
                <w:szCs w:val="24"/>
              </w:rPr>
            </w:pPr>
            <w:r w:rsidRPr="00AE1289">
              <w:rPr>
                <w:rFonts w:ascii="Arial" w:hAnsi="Arial" w:cs="Arial"/>
                <w:sz w:val="24"/>
                <w:szCs w:val="24"/>
              </w:rPr>
              <w:t>Limited engagement of some parents/carers in children’s learning and the wider academy life and opportunities on offer</w:t>
            </w:r>
          </w:p>
        </w:tc>
      </w:tr>
      <w:tr w:rsidR="00AE1289" w14:paraId="2775C432"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3E239" w14:textId="542DE7E2" w:rsidR="00AE1289" w:rsidRDefault="00EE7A3A">
            <w:pPr>
              <w:pStyle w:val="TableRow"/>
              <w:rPr>
                <w:sz w:val="22"/>
                <w:szCs w:val="22"/>
              </w:rPr>
            </w:pPr>
            <w:r>
              <w:rPr>
                <w:sz w:val="22"/>
                <w:szCs w:val="22"/>
              </w:rPr>
              <w:t>7</w:t>
            </w:r>
          </w:p>
        </w:tc>
        <w:tc>
          <w:tcPr>
            <w:tcW w:w="8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61C6" w14:textId="1B48FAFD" w:rsidR="00AE1289" w:rsidRPr="00AE1289" w:rsidRDefault="00AE1289" w:rsidP="00AE1289">
            <w:pPr>
              <w:pStyle w:val="NoSpacing"/>
              <w:rPr>
                <w:rFonts w:ascii="Arial" w:hAnsi="Arial" w:cs="Arial"/>
                <w:sz w:val="24"/>
                <w:szCs w:val="24"/>
              </w:rPr>
            </w:pPr>
            <w:r w:rsidRPr="00AE1289">
              <w:rPr>
                <w:rFonts w:ascii="Arial" w:hAnsi="Arial" w:cs="Arial"/>
                <w:sz w:val="24"/>
                <w:szCs w:val="24"/>
              </w:rPr>
              <w:t>Less opportunities outside of school for enrichment activities such as trips and music tuition</w:t>
            </w:r>
          </w:p>
        </w:tc>
      </w:tr>
      <w:tr w:rsidR="00AE1289" w14:paraId="13363949" w14:textId="77777777" w:rsidTr="009928F3">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38D29" w14:textId="0025B2C1" w:rsidR="00AE1289" w:rsidRDefault="00EE7A3A">
            <w:pPr>
              <w:pStyle w:val="TableRow"/>
              <w:rPr>
                <w:sz w:val="22"/>
                <w:szCs w:val="22"/>
              </w:rPr>
            </w:pPr>
            <w:r>
              <w:rPr>
                <w:sz w:val="22"/>
                <w:szCs w:val="22"/>
              </w:rPr>
              <w:t>8</w:t>
            </w:r>
          </w:p>
        </w:tc>
        <w:tc>
          <w:tcPr>
            <w:tcW w:w="8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B4A17" w14:textId="022EE32A" w:rsidR="00AE1289" w:rsidRPr="00AE1289" w:rsidRDefault="00AE1289" w:rsidP="00AE1289">
            <w:pPr>
              <w:pStyle w:val="NoSpacing"/>
              <w:rPr>
                <w:rFonts w:ascii="Arial" w:hAnsi="Arial" w:cs="Arial"/>
                <w:sz w:val="24"/>
                <w:szCs w:val="24"/>
              </w:rPr>
            </w:pPr>
            <w:r w:rsidRPr="00AE1289">
              <w:rPr>
                <w:rFonts w:ascii="Arial" w:hAnsi="Arial" w:cs="Arial"/>
                <w:sz w:val="24"/>
                <w:szCs w:val="24"/>
              </w:rPr>
              <w:t>Lack of equipment and uniform that promotes a feeling of being disadvantaged</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381" w:type="pct"/>
        <w:tblInd w:w="-289" w:type="dxa"/>
        <w:tblCellMar>
          <w:left w:w="10" w:type="dxa"/>
          <w:right w:w="10" w:type="dxa"/>
        </w:tblCellMar>
        <w:tblLook w:val="04A0" w:firstRow="1" w:lastRow="0" w:firstColumn="1" w:lastColumn="0" w:noHBand="0" w:noVBand="1"/>
      </w:tblPr>
      <w:tblGrid>
        <w:gridCol w:w="4679"/>
        <w:gridCol w:w="5530"/>
      </w:tblGrid>
      <w:tr w:rsidR="00E66558" w14:paraId="2A7D5503" w14:textId="77777777" w:rsidTr="009928F3">
        <w:tc>
          <w:tcPr>
            <w:tcW w:w="46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5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23B77" w14:paraId="3953FCD7" w14:textId="77777777" w:rsidTr="009928F3">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E854" w14:textId="18FE5607" w:rsidR="00423B77" w:rsidRPr="00AE1289" w:rsidRDefault="00423B77" w:rsidP="00423B77">
            <w:pPr>
              <w:pStyle w:val="TableRow"/>
              <w:ind w:left="0"/>
              <w:rPr>
                <w:iCs/>
              </w:rPr>
            </w:pPr>
            <w:r w:rsidRPr="00667C25">
              <w:t xml:space="preserve">To provide the </w:t>
            </w:r>
            <w:r>
              <w:t>highest levels of learning support that make sure children are not disadvantaged in their ability to make excellent progress and achieve strong outcomes.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7079B" w14:textId="77777777" w:rsidR="00423B77" w:rsidRDefault="00423B77" w:rsidP="00423B77">
            <w:pPr>
              <w:pStyle w:val="ListParagraph"/>
              <w:numPr>
                <w:ilvl w:val="0"/>
                <w:numId w:val="18"/>
              </w:numPr>
              <w:suppressAutoHyphens w:val="0"/>
              <w:autoSpaceDN/>
              <w:spacing w:after="160" w:line="256" w:lineRule="auto"/>
              <w:rPr>
                <w:rFonts w:cs="Arial"/>
              </w:rPr>
            </w:pPr>
            <w:r w:rsidRPr="000B577A">
              <w:rPr>
                <w:rFonts w:cs="Arial"/>
              </w:rPr>
              <w:t xml:space="preserve">Accelerated progress of disadvantaged pupils in receipt of </w:t>
            </w:r>
            <w:r>
              <w:rPr>
                <w:rFonts w:cs="Arial"/>
              </w:rPr>
              <w:t>additional support staff</w:t>
            </w:r>
          </w:p>
          <w:p w14:paraId="4C7BA1F4" w14:textId="05C4031D" w:rsidR="00423B77" w:rsidRDefault="00EE7A3A" w:rsidP="00423B77">
            <w:pPr>
              <w:pStyle w:val="ListParagraph"/>
              <w:numPr>
                <w:ilvl w:val="0"/>
                <w:numId w:val="18"/>
              </w:numPr>
              <w:suppressAutoHyphens w:val="0"/>
              <w:autoSpaceDN/>
              <w:spacing w:after="0" w:line="256" w:lineRule="auto"/>
              <w:rPr>
                <w:rFonts w:cs="Arial"/>
              </w:rPr>
            </w:pPr>
            <w:r>
              <w:rPr>
                <w:rFonts w:cs="Arial"/>
              </w:rPr>
              <w:t xml:space="preserve">High quality, bespoke intervention provision for those pupils most in need of focused </w:t>
            </w:r>
            <w:r w:rsidR="009928F3">
              <w:rPr>
                <w:rFonts w:cs="Arial"/>
              </w:rPr>
              <w:t xml:space="preserve">    </w:t>
            </w:r>
            <w:r>
              <w:rPr>
                <w:rFonts w:cs="Arial"/>
              </w:rPr>
              <w:t>support</w:t>
            </w:r>
          </w:p>
          <w:p w14:paraId="3E00F365" w14:textId="0FA0CBE2" w:rsidR="00423B77" w:rsidRDefault="00423B77" w:rsidP="00423B77">
            <w:pPr>
              <w:pStyle w:val="ListParagraph"/>
              <w:numPr>
                <w:ilvl w:val="0"/>
                <w:numId w:val="18"/>
              </w:numPr>
              <w:suppressAutoHyphens w:val="0"/>
              <w:autoSpaceDN/>
              <w:spacing w:after="0" w:line="256" w:lineRule="auto"/>
              <w:rPr>
                <w:rFonts w:cs="Arial"/>
              </w:rPr>
            </w:pPr>
            <w:r>
              <w:rPr>
                <w:rFonts w:cs="Arial"/>
              </w:rPr>
              <w:t xml:space="preserve">Staff have an increased confidence in </w:t>
            </w:r>
            <w:r w:rsidR="00EE7A3A">
              <w:rPr>
                <w:rFonts w:cs="Arial"/>
              </w:rPr>
              <w:t xml:space="preserve">   </w:t>
            </w:r>
            <w:r w:rsidR="009928F3">
              <w:rPr>
                <w:rFonts w:cs="Arial"/>
              </w:rPr>
              <w:t xml:space="preserve">      </w:t>
            </w:r>
            <w:r>
              <w:rPr>
                <w:rFonts w:cs="Arial"/>
              </w:rPr>
              <w:t>addressing barriers to learning for vulnerable groups and deploy a range of strategies to overcome them.</w:t>
            </w:r>
          </w:p>
          <w:p w14:paraId="0CE49C7C" w14:textId="00D07EEB" w:rsidR="00423B77" w:rsidRPr="00423B77" w:rsidRDefault="00423B77" w:rsidP="00423B77">
            <w:pPr>
              <w:pStyle w:val="ListParagraph"/>
              <w:numPr>
                <w:ilvl w:val="0"/>
                <w:numId w:val="18"/>
              </w:numPr>
              <w:suppressAutoHyphens w:val="0"/>
              <w:autoSpaceDN/>
              <w:spacing w:after="0" w:line="256" w:lineRule="auto"/>
              <w:rPr>
                <w:rFonts w:cs="Arial"/>
              </w:rPr>
            </w:pPr>
            <w:r w:rsidRPr="00423B77">
              <w:rPr>
                <w:rFonts w:cs="Arial"/>
              </w:rPr>
              <w:t xml:space="preserve">EEF recommendations that focus staff support on early intervention, phonics and outdoor </w:t>
            </w:r>
            <w:r w:rsidR="009928F3">
              <w:rPr>
                <w:rFonts w:cs="Arial"/>
              </w:rPr>
              <w:t xml:space="preserve">   </w:t>
            </w:r>
            <w:r w:rsidRPr="00423B77">
              <w:rPr>
                <w:rFonts w:cs="Arial"/>
              </w:rPr>
              <w:t>adventure learning result in accelerating progress for disadvantaged pupils</w:t>
            </w:r>
          </w:p>
        </w:tc>
      </w:tr>
      <w:tr w:rsidR="00423B77" w14:paraId="66E79BB8" w14:textId="77777777" w:rsidTr="009928F3">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C38D" w14:textId="77777777" w:rsidR="00423B77" w:rsidRPr="00667C25" w:rsidRDefault="00423B77" w:rsidP="00423B77">
            <w:pPr>
              <w:pStyle w:val="TableRow"/>
            </w:pPr>
            <w:r w:rsidRPr="00667C25">
              <w:t xml:space="preserve">To have the highest level of community and pastoral support that ensures the mental and physical wellbeing needs of our children are met in school and at home. </w:t>
            </w:r>
          </w:p>
          <w:p w14:paraId="1274AA5F" w14:textId="2929C45A" w:rsidR="00423B77" w:rsidRPr="00AE1289" w:rsidRDefault="00423B77" w:rsidP="00423B77">
            <w:pPr>
              <w:pStyle w:val="TableRow"/>
              <w:ind w:left="0"/>
              <w:rPr>
                <w:iCs/>
              </w:rPr>
            </w:pPr>
            <w:r w:rsidRPr="00667C25">
              <w:t>To also ensure that we provide a range of opportunities that support our cultural aspirations offer to raise the ambition of our children.</w:t>
            </w:r>
            <w:r>
              <w:rPr>
                <w:sz w:val="22"/>
                <w:szCs w:val="22"/>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E7927" w14:textId="77777777" w:rsidR="00423B77" w:rsidRPr="000B577A" w:rsidRDefault="00423B77" w:rsidP="00423B77">
            <w:pPr>
              <w:pStyle w:val="ListParagraph"/>
              <w:numPr>
                <w:ilvl w:val="0"/>
                <w:numId w:val="17"/>
              </w:numPr>
              <w:suppressAutoHyphens w:val="0"/>
              <w:autoSpaceDN/>
              <w:spacing w:after="0" w:line="256" w:lineRule="auto"/>
              <w:rPr>
                <w:rFonts w:cs="Arial"/>
              </w:rPr>
            </w:pPr>
            <w:r>
              <w:rPr>
                <w:rFonts w:cs="Arial"/>
              </w:rPr>
              <w:t xml:space="preserve">Improved provision for </w:t>
            </w:r>
            <w:r w:rsidRPr="000B577A">
              <w:rPr>
                <w:rFonts w:cs="Arial"/>
                <w:u w:val="single"/>
              </w:rPr>
              <w:t>all</w:t>
            </w:r>
            <w:r w:rsidRPr="000B577A">
              <w:rPr>
                <w:rFonts w:cs="Arial"/>
              </w:rPr>
              <w:t xml:space="preserve"> children’s social, emotional and mental health needs</w:t>
            </w:r>
          </w:p>
          <w:p w14:paraId="3D5A9972" w14:textId="77777777" w:rsidR="00423B77" w:rsidRDefault="00423B77" w:rsidP="00423B77">
            <w:pPr>
              <w:pStyle w:val="ListParagraph"/>
              <w:numPr>
                <w:ilvl w:val="0"/>
                <w:numId w:val="17"/>
              </w:numPr>
              <w:suppressAutoHyphens w:val="0"/>
              <w:autoSpaceDN/>
              <w:spacing w:after="0" w:line="256" w:lineRule="auto"/>
              <w:rPr>
                <w:rFonts w:cs="Arial"/>
              </w:rPr>
            </w:pPr>
            <w:r>
              <w:rPr>
                <w:rFonts w:cs="Arial"/>
              </w:rPr>
              <w:t>Increased parent/carer engagement and involvement in order to support learning</w:t>
            </w:r>
          </w:p>
          <w:p w14:paraId="57BD80CE" w14:textId="77777777" w:rsidR="00423B77" w:rsidRDefault="00423B77" w:rsidP="00423B77">
            <w:pPr>
              <w:pStyle w:val="ListParagraph"/>
              <w:numPr>
                <w:ilvl w:val="0"/>
                <w:numId w:val="17"/>
              </w:numPr>
              <w:suppressAutoHyphens w:val="0"/>
              <w:autoSpaceDN/>
              <w:spacing w:after="0" w:line="256" w:lineRule="auto"/>
              <w:rPr>
                <w:rFonts w:cs="Arial"/>
              </w:rPr>
            </w:pPr>
            <w:r>
              <w:rPr>
                <w:rFonts w:cs="Arial"/>
              </w:rPr>
              <w:t>Improved attendance, punctuality and reduced persistent absence across all vulnerable groups which contribute to a rise in the whole school attendance figure</w:t>
            </w:r>
          </w:p>
          <w:p w14:paraId="1C03493D" w14:textId="77777777" w:rsidR="00423B77" w:rsidRDefault="00423B77" w:rsidP="00423B77">
            <w:pPr>
              <w:pStyle w:val="ListParagraph"/>
              <w:numPr>
                <w:ilvl w:val="0"/>
                <w:numId w:val="17"/>
              </w:numPr>
              <w:suppressAutoHyphens w:val="0"/>
              <w:autoSpaceDN/>
              <w:spacing w:after="0" w:line="256" w:lineRule="auto"/>
              <w:rPr>
                <w:rFonts w:cs="Arial"/>
              </w:rPr>
            </w:pPr>
            <w:r>
              <w:rPr>
                <w:rFonts w:cs="Arial"/>
              </w:rPr>
              <w:t>No child is disadvantaged by the need for quality uniform</w:t>
            </w:r>
          </w:p>
          <w:p w14:paraId="451D59F0" w14:textId="5512A251" w:rsidR="00423B77" w:rsidRDefault="00EE7A3A" w:rsidP="00423B77">
            <w:pPr>
              <w:pStyle w:val="ListParagraph"/>
              <w:numPr>
                <w:ilvl w:val="0"/>
                <w:numId w:val="17"/>
              </w:numPr>
              <w:suppressAutoHyphens w:val="0"/>
              <w:autoSpaceDN/>
              <w:spacing w:after="0" w:line="256" w:lineRule="auto"/>
              <w:rPr>
                <w:rFonts w:cs="Arial"/>
              </w:rPr>
            </w:pPr>
            <w:r>
              <w:rPr>
                <w:rFonts w:cs="Arial"/>
              </w:rPr>
              <w:t xml:space="preserve">Breakfast club is available to every pupil, free of charge.  This promotes good attendance and punctuality, a nutritious start to the day, </w:t>
            </w:r>
            <w:r>
              <w:rPr>
                <w:rFonts w:cs="Arial"/>
              </w:rPr>
              <w:lastRenderedPageBreak/>
              <w:t>positive interactions and extra-curricular opportunities</w:t>
            </w:r>
          </w:p>
          <w:p w14:paraId="20B8A6E6" w14:textId="1D44E8BE" w:rsidR="00423B77" w:rsidRPr="00423B77" w:rsidRDefault="00EE7A3A" w:rsidP="00EE7A3A">
            <w:pPr>
              <w:pStyle w:val="ListParagraph"/>
              <w:numPr>
                <w:ilvl w:val="0"/>
                <w:numId w:val="17"/>
              </w:numPr>
              <w:suppressAutoHyphens w:val="0"/>
              <w:autoSpaceDN/>
              <w:spacing w:after="0" w:line="256" w:lineRule="auto"/>
              <w:rPr>
                <w:rFonts w:cs="Arial"/>
              </w:rPr>
            </w:pPr>
            <w:r>
              <w:rPr>
                <w:rFonts w:cs="Arial"/>
              </w:rPr>
              <w:t>Trips and educational visits are substantially subsidised by school wherever possible; ensuring n</w:t>
            </w:r>
            <w:r w:rsidR="00423B77" w:rsidRPr="00423B77">
              <w:rPr>
                <w:rFonts w:cs="Arial"/>
              </w:rPr>
              <w:t xml:space="preserve">o child is disadvantaged by being </w:t>
            </w:r>
            <w:r w:rsidR="00D97C65">
              <w:rPr>
                <w:rFonts w:cs="Arial"/>
              </w:rPr>
              <w:t xml:space="preserve">    </w:t>
            </w:r>
            <w:r w:rsidR="00423B77" w:rsidRPr="00423B77">
              <w:rPr>
                <w:rFonts w:cs="Arial"/>
              </w:rPr>
              <w:t>unable to afford trips</w:t>
            </w:r>
          </w:p>
        </w:tc>
      </w:tr>
      <w:tr w:rsidR="00E66558" w14:paraId="2A7D5506" w14:textId="77777777" w:rsidTr="009928F3">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4540" w14:textId="77777777" w:rsidR="00667C25" w:rsidRDefault="00AE1289" w:rsidP="00AE1289">
            <w:pPr>
              <w:pStyle w:val="TableRow"/>
              <w:ind w:left="0"/>
              <w:rPr>
                <w:iCs/>
              </w:rPr>
            </w:pPr>
            <w:r w:rsidRPr="00AE1289">
              <w:rPr>
                <w:iCs/>
              </w:rPr>
              <w:lastRenderedPageBreak/>
              <w:t>To utilise the expertise of external professionals to ensure that our children and families benefit from the professional involvement t</w:t>
            </w:r>
            <w:r w:rsidR="00667C25">
              <w:rPr>
                <w:iCs/>
              </w:rPr>
              <w:t>hat ensures their needs are met.</w:t>
            </w:r>
          </w:p>
          <w:p w14:paraId="2A7D5504" w14:textId="2C41E39A" w:rsidR="00E66558" w:rsidRPr="00AE1289" w:rsidRDefault="00667C25" w:rsidP="00AE1289">
            <w:pPr>
              <w:pStyle w:val="TableRow"/>
              <w:ind w:left="0"/>
            </w:pPr>
            <w:r>
              <w:rPr>
                <w:iCs/>
              </w:rPr>
              <w:t xml:space="preserve">To also ensure professionals contribute to </w:t>
            </w:r>
            <w:r w:rsidR="00AE1289" w:rsidRPr="00AE1289">
              <w:rPr>
                <w:iCs/>
              </w:rPr>
              <w:t xml:space="preserve">the upskilling and training of our staff so that they are well equipped to meet the needs of our children and families.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D1CB" w14:textId="77777777" w:rsidR="00AE1289" w:rsidRDefault="00AE1289" w:rsidP="00AE1289">
            <w:pPr>
              <w:pStyle w:val="ListParagraph"/>
              <w:numPr>
                <w:ilvl w:val="0"/>
                <w:numId w:val="14"/>
              </w:numPr>
              <w:suppressAutoHyphens w:val="0"/>
              <w:autoSpaceDN/>
              <w:spacing w:after="0" w:line="256" w:lineRule="auto"/>
              <w:rPr>
                <w:rFonts w:cs="Arial"/>
              </w:rPr>
            </w:pPr>
            <w:r w:rsidRPr="000B577A">
              <w:rPr>
                <w:rFonts w:cs="Arial"/>
              </w:rPr>
              <w:t>Accelerated progress of disadvantaged pupils in receipt of support from external profession</w:t>
            </w:r>
            <w:r>
              <w:rPr>
                <w:rFonts w:cs="Arial"/>
              </w:rPr>
              <w:t>al</w:t>
            </w:r>
            <w:r w:rsidRPr="000B577A">
              <w:rPr>
                <w:rFonts w:cs="Arial"/>
              </w:rPr>
              <w:t>s</w:t>
            </w:r>
          </w:p>
          <w:p w14:paraId="1E27FC0A" w14:textId="77777777" w:rsidR="00AE1289" w:rsidRDefault="00AE1289" w:rsidP="00AE1289">
            <w:pPr>
              <w:pStyle w:val="ListParagraph"/>
              <w:numPr>
                <w:ilvl w:val="0"/>
                <w:numId w:val="14"/>
              </w:numPr>
              <w:suppressAutoHyphens w:val="0"/>
              <w:autoSpaceDN/>
              <w:spacing w:after="0" w:line="256" w:lineRule="auto"/>
              <w:rPr>
                <w:rFonts w:cs="Arial"/>
              </w:rPr>
            </w:pPr>
            <w:r>
              <w:rPr>
                <w:rFonts w:cs="Arial"/>
              </w:rPr>
              <w:t>Improved intervention and support from staff as a result of working with external professionals and receiving their training and support</w:t>
            </w:r>
          </w:p>
          <w:p w14:paraId="2A7D5505" w14:textId="2D2403FE" w:rsidR="00E66558" w:rsidRDefault="00AE1289" w:rsidP="00D4009F">
            <w:pPr>
              <w:pStyle w:val="TableRowCentered"/>
              <w:numPr>
                <w:ilvl w:val="0"/>
                <w:numId w:val="14"/>
              </w:numPr>
              <w:jc w:val="left"/>
              <w:rPr>
                <w:sz w:val="22"/>
                <w:szCs w:val="22"/>
              </w:rPr>
            </w:pPr>
            <w:r>
              <w:rPr>
                <w:rFonts w:cs="Arial"/>
              </w:rPr>
              <w:t>Improve</w:t>
            </w:r>
            <w:r w:rsidR="00D4009F">
              <w:rPr>
                <w:rFonts w:cs="Arial"/>
              </w:rPr>
              <w:t>d</w:t>
            </w:r>
            <w:r>
              <w:rPr>
                <w:rFonts w:cs="Arial"/>
              </w:rPr>
              <w:t xml:space="preserve"> attendance, punctuality and reduce</w:t>
            </w:r>
            <w:r w:rsidR="00D4009F">
              <w:rPr>
                <w:rFonts w:cs="Arial"/>
              </w:rPr>
              <w:t>d</w:t>
            </w:r>
            <w:r>
              <w:rPr>
                <w:rFonts w:cs="Arial"/>
              </w:rPr>
              <w:t xml:space="preserve"> persistent absence across all vulnerable groups </w:t>
            </w:r>
            <w:r w:rsidR="00D4009F">
              <w:rPr>
                <w:rFonts w:cs="Arial"/>
              </w:rPr>
              <w:t>which</w:t>
            </w:r>
            <w:r>
              <w:rPr>
                <w:rFonts w:cs="Arial"/>
              </w:rPr>
              <w:t xml:space="preserve"> contribute to a rise in the whole school attendance figure</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9D7F1A0" w:rsidR="00E66558" w:rsidRDefault="00523119">
      <w:r>
        <w:t xml:space="preserve">Budgeted cost: </w:t>
      </w:r>
      <w:r w:rsidR="00AA69A4" w:rsidRPr="00817653">
        <w:rPr>
          <w:b/>
          <w:color w:val="002060"/>
        </w:rPr>
        <w:t>£</w:t>
      </w:r>
      <w:r w:rsidR="00817653" w:rsidRPr="00817653">
        <w:rPr>
          <w:b/>
          <w:color w:val="002060"/>
        </w:rPr>
        <w:t>80,578</w:t>
      </w:r>
    </w:p>
    <w:tbl>
      <w:tblPr>
        <w:tblW w:w="5368" w:type="pct"/>
        <w:tblInd w:w="-289" w:type="dxa"/>
        <w:tblCellMar>
          <w:left w:w="10" w:type="dxa"/>
          <w:right w:w="10" w:type="dxa"/>
        </w:tblCellMar>
        <w:tblLook w:val="04A0" w:firstRow="1" w:lastRow="0" w:firstColumn="1" w:lastColumn="0" w:noHBand="0" w:noVBand="1"/>
      </w:tblPr>
      <w:tblGrid>
        <w:gridCol w:w="3119"/>
        <w:gridCol w:w="5534"/>
        <w:gridCol w:w="1531"/>
      </w:tblGrid>
      <w:tr w:rsidR="00E66558" w14:paraId="2A7D5519" w14:textId="77777777" w:rsidTr="002C1619">
        <w:tc>
          <w:tcPr>
            <w:tcW w:w="31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5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D4009F" w14:paraId="70FB01EF" w14:textId="77777777" w:rsidTr="002C1619">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60DEA" w14:textId="4E25605D" w:rsidR="00D4009F" w:rsidRPr="00423B77" w:rsidRDefault="00423B77" w:rsidP="00D4009F">
            <w:pPr>
              <w:pStyle w:val="NoSpacing"/>
              <w:rPr>
                <w:rFonts w:ascii="Arial" w:hAnsi="Arial" w:cs="Arial"/>
                <w:sz w:val="24"/>
              </w:rPr>
            </w:pPr>
            <w:r>
              <w:rPr>
                <w:rFonts w:ascii="Arial" w:hAnsi="Arial" w:cs="Arial"/>
                <w:sz w:val="24"/>
              </w:rPr>
              <w:t xml:space="preserve">Purchase of proven </w:t>
            </w:r>
            <w:r w:rsidR="002C1619">
              <w:rPr>
                <w:rFonts w:ascii="Arial" w:hAnsi="Arial" w:cs="Arial"/>
                <w:sz w:val="24"/>
              </w:rPr>
              <w:t xml:space="preserve">       </w:t>
            </w:r>
            <w:r>
              <w:rPr>
                <w:rFonts w:ascii="Arial" w:hAnsi="Arial" w:cs="Arial"/>
                <w:sz w:val="24"/>
              </w:rPr>
              <w:t xml:space="preserve">resources that increase the rates of progress of </w:t>
            </w:r>
            <w:r w:rsidR="002C1619">
              <w:rPr>
                <w:rFonts w:ascii="Arial" w:hAnsi="Arial" w:cs="Arial"/>
                <w:sz w:val="24"/>
              </w:rPr>
              <w:t xml:space="preserve">        </w:t>
            </w:r>
            <w:r>
              <w:rPr>
                <w:rFonts w:ascii="Arial" w:hAnsi="Arial" w:cs="Arial"/>
                <w:sz w:val="24"/>
              </w:rPr>
              <w:t xml:space="preserve">disadvantaged children across the school; namely </w:t>
            </w:r>
            <w:proofErr w:type="spellStart"/>
            <w:r w:rsidR="00D4009F" w:rsidRPr="00D4009F">
              <w:rPr>
                <w:rFonts w:ascii="Arial" w:hAnsi="Arial" w:cs="Arial"/>
                <w:sz w:val="24"/>
              </w:rPr>
              <w:t>P</w:t>
            </w:r>
            <w:r w:rsidR="00D97C65">
              <w:rPr>
                <w:rFonts w:ascii="Arial" w:hAnsi="Arial" w:cs="Arial"/>
                <w:sz w:val="24"/>
              </w:rPr>
              <w:t>iX</w:t>
            </w:r>
            <w:r w:rsidR="00D4009F" w:rsidRPr="00D4009F">
              <w:rPr>
                <w:rFonts w:ascii="Arial" w:hAnsi="Arial" w:cs="Arial"/>
                <w:sz w:val="24"/>
              </w:rPr>
              <w:t>L</w:t>
            </w:r>
            <w:proofErr w:type="spellEnd"/>
            <w:r>
              <w:rPr>
                <w:rFonts w:ascii="Arial" w:hAnsi="Arial" w:cs="Arial"/>
                <w:sz w:val="24"/>
              </w:rPr>
              <w:t xml:space="preserve"> and </w:t>
            </w:r>
            <w:r w:rsidR="00D4009F" w:rsidRPr="00D4009F">
              <w:rPr>
                <w:rFonts w:ascii="Arial" w:hAnsi="Arial" w:cs="Arial"/>
                <w:sz w:val="24"/>
              </w:rPr>
              <w:t>Launchpad for Literacy</w:t>
            </w: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EE48" w14:textId="197E422A" w:rsidR="002D347E" w:rsidRDefault="00CD66D8" w:rsidP="002D347E">
            <w:pPr>
              <w:pStyle w:val="TableRowCentered"/>
              <w:jc w:val="left"/>
            </w:pPr>
            <w:hyperlink r:id="rId11" w:history="1">
              <w:r w:rsidR="002D347E">
                <w:rPr>
                  <w:rStyle w:val="Hyperlink"/>
                </w:rPr>
                <w:t>Early years interventions | Toolkit Strand | Education Endowment Foundation | EEF</w:t>
              </w:r>
            </w:hyperlink>
          </w:p>
          <w:p w14:paraId="105ABE1D" w14:textId="3AD01B31" w:rsidR="002D347E" w:rsidRDefault="00CD66D8" w:rsidP="002D347E">
            <w:pPr>
              <w:pStyle w:val="TableRowCentered"/>
              <w:jc w:val="left"/>
            </w:pPr>
            <w:hyperlink r:id="rId12" w:history="1">
              <w:r w:rsidR="002D347E">
                <w:rPr>
                  <w:rStyle w:val="Hyperlink"/>
                </w:rPr>
                <w:t>Oral language interventions | Toolkit Strand | Education Endowment Foundation | EEF</w:t>
              </w:r>
            </w:hyperlink>
          </w:p>
          <w:p w14:paraId="19E0A897" w14:textId="5B02AAAE" w:rsidR="002D347E" w:rsidRDefault="00CD66D8" w:rsidP="002D347E">
            <w:pPr>
              <w:pStyle w:val="TableRowCentered"/>
              <w:jc w:val="left"/>
            </w:pPr>
            <w:hyperlink r:id="rId13" w:history="1">
              <w:r w:rsidR="002D347E">
                <w:rPr>
                  <w:rStyle w:val="Hyperlink"/>
                </w:rPr>
                <w:t>Phonics | Toolkit Strand | Education Endowment Foundation | EEF</w:t>
              </w:r>
            </w:hyperlink>
          </w:p>
          <w:p w14:paraId="2370BC0D" w14:textId="4502DCE2" w:rsidR="002D347E" w:rsidRPr="002D347E" w:rsidRDefault="00CD66D8" w:rsidP="002D347E">
            <w:pPr>
              <w:pStyle w:val="TableRowCentered"/>
              <w:jc w:val="left"/>
            </w:pPr>
            <w:hyperlink r:id="rId14" w:history="1">
              <w:r w:rsidR="002D347E">
                <w:rPr>
                  <w:rStyle w:val="Hyperlink"/>
                </w:rPr>
                <w:t>Reading comprehension strategies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03BC" w14:textId="4BFEF60F" w:rsidR="00D4009F" w:rsidRDefault="0048659C">
            <w:pPr>
              <w:pStyle w:val="TableRowCentered"/>
              <w:jc w:val="left"/>
              <w:rPr>
                <w:sz w:val="22"/>
              </w:rPr>
            </w:pPr>
            <w:r>
              <w:rPr>
                <w:sz w:val="22"/>
              </w:rPr>
              <w:t xml:space="preserve">2, </w:t>
            </w:r>
            <w:r w:rsidR="00523119">
              <w:rPr>
                <w:sz w:val="22"/>
              </w:rPr>
              <w:t xml:space="preserve">3, 4 </w:t>
            </w:r>
          </w:p>
        </w:tc>
      </w:tr>
      <w:tr w:rsidR="00D4009F" w14:paraId="6E91C3E1" w14:textId="77777777" w:rsidTr="002C1619">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A0414" w14:textId="65E534F4" w:rsidR="00D4009F" w:rsidRPr="00D4009F" w:rsidRDefault="00423B77" w:rsidP="00E20D89">
            <w:pPr>
              <w:pStyle w:val="NoSpacing"/>
              <w:rPr>
                <w:rFonts w:ascii="Arial" w:hAnsi="Arial" w:cs="Arial"/>
                <w:i/>
                <w:sz w:val="24"/>
              </w:rPr>
            </w:pPr>
            <w:r>
              <w:rPr>
                <w:rFonts w:ascii="Arial" w:hAnsi="Arial" w:cs="Arial"/>
                <w:sz w:val="24"/>
              </w:rPr>
              <w:t xml:space="preserve">Provision of additional classroom support for greater adult to child </w:t>
            </w:r>
            <w:r w:rsidR="002C1619">
              <w:rPr>
                <w:rFonts w:ascii="Arial" w:hAnsi="Arial" w:cs="Arial"/>
                <w:sz w:val="24"/>
              </w:rPr>
              <w:t xml:space="preserve">    </w:t>
            </w:r>
            <w:r>
              <w:rPr>
                <w:rFonts w:ascii="Arial" w:hAnsi="Arial" w:cs="Arial"/>
                <w:sz w:val="24"/>
              </w:rPr>
              <w:t>contact with a focus on</w:t>
            </w:r>
            <w:r w:rsidR="00D4009F" w:rsidRPr="00D4009F">
              <w:rPr>
                <w:rFonts w:ascii="Arial" w:hAnsi="Arial" w:cs="Arial"/>
                <w:sz w:val="24"/>
              </w:rPr>
              <w:t xml:space="preserve"> </w:t>
            </w:r>
            <w:r w:rsidR="00E20D89">
              <w:rPr>
                <w:rFonts w:ascii="Arial" w:hAnsi="Arial" w:cs="Arial"/>
                <w:sz w:val="24"/>
              </w:rPr>
              <w:t xml:space="preserve">small group </w:t>
            </w:r>
            <w:r w:rsidR="00D4009F" w:rsidRPr="00D4009F">
              <w:rPr>
                <w:rFonts w:ascii="Arial" w:hAnsi="Arial" w:cs="Arial"/>
                <w:sz w:val="24"/>
              </w:rPr>
              <w:t xml:space="preserve">intervention and </w:t>
            </w:r>
            <w:r w:rsidR="00E20D89">
              <w:rPr>
                <w:rFonts w:ascii="Arial" w:hAnsi="Arial" w:cs="Arial"/>
                <w:sz w:val="24"/>
              </w:rPr>
              <w:t>collaborative learning</w:t>
            </w: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EAF81" w14:textId="77777777" w:rsidR="00D4009F" w:rsidRDefault="00CD66D8">
            <w:pPr>
              <w:pStyle w:val="TableRowCentered"/>
              <w:jc w:val="left"/>
            </w:pPr>
            <w:hyperlink r:id="rId15" w:history="1">
              <w:r w:rsidR="00E20D89">
                <w:rPr>
                  <w:rStyle w:val="Hyperlink"/>
                </w:rPr>
                <w:t>Collaborative learning | Toolkit Strand | Education Endowment Foundation | EEF</w:t>
              </w:r>
            </w:hyperlink>
          </w:p>
          <w:p w14:paraId="6B879EE0" w14:textId="77777777" w:rsidR="002D347E" w:rsidRDefault="00CD66D8">
            <w:pPr>
              <w:pStyle w:val="TableRowCentered"/>
              <w:jc w:val="left"/>
            </w:pPr>
            <w:hyperlink r:id="rId16" w:history="1">
              <w:r w:rsidR="002D347E">
                <w:rPr>
                  <w:rStyle w:val="Hyperlink"/>
                </w:rPr>
                <w:t>Phonics | Toolkit Strand | Education Endowment Foundation | EEF</w:t>
              </w:r>
            </w:hyperlink>
          </w:p>
          <w:p w14:paraId="02756955" w14:textId="77777777" w:rsidR="002D347E" w:rsidRDefault="00CD66D8">
            <w:pPr>
              <w:pStyle w:val="TableRowCentered"/>
              <w:jc w:val="left"/>
            </w:pPr>
            <w:hyperlink r:id="rId17" w:history="1">
              <w:r w:rsidR="002D347E">
                <w:rPr>
                  <w:rStyle w:val="Hyperlink"/>
                </w:rPr>
                <w:t>Small group tuition | Toolkit Strand | Education Endowment Foundation | EEF</w:t>
              </w:r>
            </w:hyperlink>
          </w:p>
          <w:p w14:paraId="184B241F" w14:textId="55090821" w:rsidR="002D347E" w:rsidRDefault="00CD66D8">
            <w:pPr>
              <w:pStyle w:val="TableRowCentered"/>
              <w:jc w:val="left"/>
              <w:rPr>
                <w:sz w:val="22"/>
              </w:rPr>
            </w:pPr>
            <w:hyperlink r:id="rId18" w:history="1">
              <w:r w:rsidR="002D347E">
                <w:rPr>
                  <w:rStyle w:val="Hyperlink"/>
                </w:rPr>
                <w:t>Teaching assistants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7D39" w14:textId="52CC7F0B" w:rsidR="00D4009F" w:rsidRDefault="00523119">
            <w:pPr>
              <w:pStyle w:val="TableRowCentered"/>
              <w:jc w:val="left"/>
              <w:rPr>
                <w:sz w:val="22"/>
              </w:rPr>
            </w:pPr>
            <w:r>
              <w:rPr>
                <w:sz w:val="22"/>
              </w:rPr>
              <w:t>1, 3, 4, 7</w:t>
            </w:r>
          </w:p>
        </w:tc>
      </w:tr>
      <w:tr w:rsidR="00D4009F" w14:paraId="46E20B01" w14:textId="77777777" w:rsidTr="002C1619">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AA04B" w14:textId="02C975EC" w:rsidR="00423B77" w:rsidRPr="00423B77" w:rsidRDefault="00423B77" w:rsidP="00D4009F">
            <w:pPr>
              <w:pStyle w:val="NoSpacing"/>
              <w:rPr>
                <w:rFonts w:ascii="Arial" w:hAnsi="Arial" w:cs="Arial"/>
                <w:sz w:val="24"/>
              </w:rPr>
            </w:pPr>
            <w:r>
              <w:rPr>
                <w:rFonts w:ascii="Arial" w:hAnsi="Arial" w:cs="Arial"/>
                <w:sz w:val="24"/>
              </w:rPr>
              <w:t>Provision of external and internal t</w:t>
            </w:r>
            <w:r w:rsidR="00D4009F" w:rsidRPr="00D4009F">
              <w:rPr>
                <w:rFonts w:ascii="Arial" w:hAnsi="Arial" w:cs="Arial"/>
                <w:sz w:val="24"/>
              </w:rPr>
              <w:t>raining</w:t>
            </w:r>
            <w:r>
              <w:rPr>
                <w:rFonts w:ascii="Arial" w:hAnsi="Arial" w:cs="Arial"/>
                <w:sz w:val="24"/>
              </w:rPr>
              <w:t xml:space="preserve"> for staff that focusses on addressing children’s barriers to learning</w:t>
            </w:r>
            <w:r w:rsidR="00E20D89">
              <w:rPr>
                <w:rFonts w:ascii="Arial" w:hAnsi="Arial" w:cs="Arial"/>
                <w:sz w:val="24"/>
              </w:rPr>
              <w:t xml:space="preserve">; </w:t>
            </w:r>
            <w:proofErr w:type="gramStart"/>
            <w:r w:rsidR="00E20D89">
              <w:rPr>
                <w:rFonts w:ascii="Arial" w:hAnsi="Arial" w:cs="Arial"/>
                <w:sz w:val="24"/>
              </w:rPr>
              <w:t>specifically</w:t>
            </w:r>
            <w:proofErr w:type="gramEnd"/>
            <w:r w:rsidR="00E20D89">
              <w:rPr>
                <w:rFonts w:ascii="Arial" w:hAnsi="Arial" w:cs="Arial"/>
                <w:sz w:val="24"/>
              </w:rPr>
              <w:t xml:space="preserve"> </w:t>
            </w:r>
            <w:r w:rsidR="002C1619">
              <w:rPr>
                <w:rFonts w:ascii="Arial" w:hAnsi="Arial" w:cs="Arial"/>
                <w:sz w:val="24"/>
              </w:rPr>
              <w:t xml:space="preserve">    </w:t>
            </w:r>
            <w:r w:rsidR="00E20D89">
              <w:rPr>
                <w:rFonts w:ascii="Arial" w:hAnsi="Arial" w:cs="Arial"/>
                <w:sz w:val="24"/>
              </w:rPr>
              <w:t>feedback</w:t>
            </w:r>
            <w:r w:rsidR="002D347E">
              <w:rPr>
                <w:rFonts w:ascii="Arial" w:hAnsi="Arial" w:cs="Arial"/>
                <w:sz w:val="24"/>
              </w:rPr>
              <w:t>, phonics</w:t>
            </w:r>
            <w:r w:rsidR="00E20D89">
              <w:rPr>
                <w:rFonts w:ascii="Arial" w:hAnsi="Arial" w:cs="Arial"/>
                <w:sz w:val="24"/>
              </w:rPr>
              <w:t xml:space="preserve"> and metacognition</w:t>
            </w: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B7251" w14:textId="77777777" w:rsidR="00D4009F" w:rsidRDefault="00CD66D8">
            <w:pPr>
              <w:pStyle w:val="TableRowCentered"/>
              <w:jc w:val="left"/>
            </w:pPr>
            <w:hyperlink r:id="rId19" w:history="1">
              <w:r w:rsidR="00E20D89">
                <w:rPr>
                  <w:rStyle w:val="Hyperlink"/>
                </w:rPr>
                <w:t>Feedback | Toolkit Strand | Education Endowment Foundation | EEF</w:t>
              </w:r>
            </w:hyperlink>
          </w:p>
          <w:p w14:paraId="4483B276" w14:textId="77777777" w:rsidR="00E20D89" w:rsidRDefault="00CD66D8">
            <w:pPr>
              <w:pStyle w:val="TableRowCentered"/>
              <w:jc w:val="left"/>
            </w:pPr>
            <w:hyperlink r:id="rId20" w:history="1">
              <w:r w:rsidR="00E20D89">
                <w:rPr>
                  <w:rStyle w:val="Hyperlink"/>
                </w:rPr>
                <w:t>Metacognition and self-regulation | Toolkit Strand | Education Endowment Foundation | EEF</w:t>
              </w:r>
            </w:hyperlink>
          </w:p>
          <w:p w14:paraId="1B341020" w14:textId="7C0386DE" w:rsidR="002D347E" w:rsidRDefault="00CD66D8">
            <w:pPr>
              <w:pStyle w:val="TableRowCentered"/>
              <w:jc w:val="left"/>
              <w:rPr>
                <w:sz w:val="22"/>
              </w:rPr>
            </w:pPr>
            <w:hyperlink r:id="rId21" w:history="1">
              <w:r w:rsidR="002D347E">
                <w:rPr>
                  <w:rStyle w:val="Hyperlink"/>
                </w:rPr>
                <w:t>Phonics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B5BEB" w14:textId="64D6EF97" w:rsidR="00D4009F" w:rsidRDefault="00523119">
            <w:pPr>
              <w:pStyle w:val="TableRowCentered"/>
              <w:jc w:val="left"/>
              <w:rPr>
                <w:sz w:val="22"/>
              </w:rPr>
            </w:pPr>
            <w:r>
              <w:rPr>
                <w:sz w:val="22"/>
              </w:rPr>
              <w:t>3, 4, 7</w:t>
            </w:r>
          </w:p>
        </w:tc>
      </w:tr>
      <w:tr w:rsidR="00523119" w14:paraId="3D9FCFEB" w14:textId="77777777" w:rsidTr="002C1619">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9E094" w14:textId="5365DDA4" w:rsidR="00523119" w:rsidRDefault="00523119" w:rsidP="00523119">
            <w:pPr>
              <w:pStyle w:val="NoSpacing"/>
              <w:rPr>
                <w:rFonts w:ascii="Arial" w:hAnsi="Arial" w:cs="Arial"/>
                <w:sz w:val="24"/>
              </w:rPr>
            </w:pPr>
            <w:r>
              <w:rPr>
                <w:rFonts w:ascii="Arial" w:hAnsi="Arial" w:cs="Arial"/>
                <w:sz w:val="24"/>
              </w:rPr>
              <w:t xml:space="preserve">Employment of an </w:t>
            </w:r>
            <w:r w:rsidR="002C1619">
              <w:rPr>
                <w:rFonts w:ascii="Arial" w:hAnsi="Arial" w:cs="Arial"/>
                <w:sz w:val="24"/>
              </w:rPr>
              <w:t xml:space="preserve">          </w:t>
            </w:r>
            <w:r>
              <w:rPr>
                <w:rFonts w:ascii="Arial" w:hAnsi="Arial" w:cs="Arial"/>
                <w:sz w:val="24"/>
              </w:rPr>
              <w:t>additional member of staff to focus on s</w:t>
            </w:r>
            <w:r w:rsidRPr="00D4009F">
              <w:rPr>
                <w:rFonts w:ascii="Arial" w:hAnsi="Arial" w:cs="Arial"/>
                <w:sz w:val="24"/>
              </w:rPr>
              <w:t>elf-regulation through</w:t>
            </w:r>
            <w:r>
              <w:rPr>
                <w:rFonts w:ascii="Arial" w:hAnsi="Arial" w:cs="Arial"/>
                <w:sz w:val="24"/>
              </w:rPr>
              <w:t xml:space="preserve"> increased</w:t>
            </w:r>
            <w:r w:rsidRPr="00D4009F">
              <w:rPr>
                <w:rFonts w:ascii="Arial" w:hAnsi="Arial" w:cs="Arial"/>
                <w:sz w:val="24"/>
              </w:rPr>
              <w:t xml:space="preserve"> sports participation</w:t>
            </w:r>
            <w:r>
              <w:rPr>
                <w:rFonts w:ascii="Arial" w:hAnsi="Arial" w:cs="Arial"/>
                <w:sz w:val="24"/>
              </w:rPr>
              <w:t>; specifically kickboxing &amp; clubs</w:t>
            </w: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28B86" w14:textId="77777777" w:rsidR="00523119" w:rsidRDefault="00CD66D8" w:rsidP="00523119">
            <w:pPr>
              <w:pStyle w:val="TableRowCentered"/>
              <w:jc w:val="left"/>
            </w:pPr>
            <w:hyperlink r:id="rId22" w:history="1">
              <w:r w:rsidR="00523119">
                <w:rPr>
                  <w:rStyle w:val="Hyperlink"/>
                </w:rPr>
                <w:t>Behaviour interventions | Toolkit Strand | Education Endowment Foundation | EEF</w:t>
              </w:r>
            </w:hyperlink>
          </w:p>
          <w:p w14:paraId="28A9680E" w14:textId="75FF64D3" w:rsidR="00523119" w:rsidRDefault="00CD66D8" w:rsidP="00523119">
            <w:pPr>
              <w:pStyle w:val="TableRowCentered"/>
              <w:jc w:val="left"/>
            </w:pPr>
            <w:hyperlink r:id="rId23" w:history="1">
              <w:r w:rsidR="00523119">
                <w:rPr>
                  <w:rStyle w:val="Hyperlink"/>
                </w:rPr>
                <w:t>Sports participation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9B635" w14:textId="61CBE7FD" w:rsidR="00523119" w:rsidRDefault="00523119" w:rsidP="00523119">
            <w:pPr>
              <w:pStyle w:val="TableRowCentered"/>
              <w:jc w:val="left"/>
              <w:rPr>
                <w:sz w:val="22"/>
              </w:rPr>
            </w:pPr>
            <w:r>
              <w:rPr>
                <w:sz w:val="22"/>
              </w:rPr>
              <w:t>1, 6, 7</w:t>
            </w:r>
          </w:p>
        </w:tc>
      </w:tr>
    </w:tbl>
    <w:p w14:paraId="2A7D5522" w14:textId="77777777" w:rsidR="00E66558" w:rsidRDefault="00E66558">
      <w:pPr>
        <w:keepNext/>
        <w:spacing w:after="60"/>
        <w:outlineLvl w:val="1"/>
      </w:pPr>
    </w:p>
    <w:p w14:paraId="31823638" w14:textId="77777777" w:rsidR="0048659C" w:rsidRDefault="0048659C">
      <w:pPr>
        <w:rPr>
          <w:b/>
          <w:bCs/>
          <w:color w:val="104F75"/>
          <w:sz w:val="28"/>
          <w:szCs w:val="28"/>
        </w:rPr>
      </w:pPr>
    </w:p>
    <w:p w14:paraId="2A7D5523" w14:textId="1DC08891"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9BEFDC1" w:rsidR="00E66558" w:rsidRDefault="00523119">
      <w:r>
        <w:t xml:space="preserve">Budgeted cost: </w:t>
      </w:r>
      <w:r w:rsidRPr="00465E08">
        <w:rPr>
          <w:b/>
          <w:color w:val="002060"/>
        </w:rPr>
        <w:t>£</w:t>
      </w:r>
      <w:r w:rsidR="00465E08">
        <w:rPr>
          <w:b/>
          <w:color w:val="002060"/>
        </w:rPr>
        <w:t>28,487</w:t>
      </w:r>
    </w:p>
    <w:tbl>
      <w:tblPr>
        <w:tblW w:w="5216" w:type="pct"/>
        <w:tblCellMar>
          <w:left w:w="10" w:type="dxa"/>
          <w:right w:w="10" w:type="dxa"/>
        </w:tblCellMar>
        <w:tblLook w:val="04A0" w:firstRow="1" w:lastRow="0" w:firstColumn="1" w:lastColumn="0" w:noHBand="0" w:noVBand="1"/>
      </w:tblPr>
      <w:tblGrid>
        <w:gridCol w:w="3685"/>
        <w:gridCol w:w="4680"/>
        <w:gridCol w:w="1531"/>
      </w:tblGrid>
      <w:tr w:rsidR="00E66558" w14:paraId="2A7D5528"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181DED3" w:rsidR="00E66558" w:rsidRPr="00423B77" w:rsidRDefault="00704E48" w:rsidP="00423B77">
            <w:pPr>
              <w:pStyle w:val="NoSpacing"/>
              <w:rPr>
                <w:rFonts w:ascii="Arial" w:hAnsi="Arial" w:cs="Arial"/>
                <w:sz w:val="24"/>
                <w:szCs w:val="24"/>
              </w:rPr>
            </w:pPr>
            <w:r>
              <w:rPr>
                <w:rFonts w:ascii="Arial" w:hAnsi="Arial" w:cs="Arial"/>
                <w:sz w:val="24"/>
                <w:szCs w:val="24"/>
              </w:rPr>
              <w:t xml:space="preserve">Provision of an </w:t>
            </w:r>
            <w:r w:rsidR="00D4009F" w:rsidRPr="00423B77">
              <w:rPr>
                <w:rFonts w:ascii="Arial" w:hAnsi="Arial" w:cs="Arial"/>
                <w:sz w:val="24"/>
                <w:szCs w:val="24"/>
              </w:rPr>
              <w:t xml:space="preserve">Educational </w:t>
            </w:r>
            <w:r w:rsidR="002C1619">
              <w:rPr>
                <w:rFonts w:ascii="Arial" w:hAnsi="Arial" w:cs="Arial"/>
                <w:sz w:val="24"/>
                <w:szCs w:val="24"/>
              </w:rPr>
              <w:t xml:space="preserve">  </w:t>
            </w:r>
            <w:r w:rsidR="00D4009F" w:rsidRPr="00423B77">
              <w:rPr>
                <w:rFonts w:ascii="Arial" w:hAnsi="Arial" w:cs="Arial"/>
                <w:sz w:val="24"/>
                <w:szCs w:val="24"/>
              </w:rPr>
              <w:t>Psychologist</w:t>
            </w:r>
            <w:r>
              <w:rPr>
                <w:rFonts w:ascii="Arial" w:hAnsi="Arial" w:cs="Arial"/>
                <w:sz w:val="24"/>
                <w:szCs w:val="24"/>
              </w:rPr>
              <w:t xml:space="preserve"> on a weekly basis to target support for specific </w:t>
            </w:r>
            <w:r w:rsidR="002C1619">
              <w:rPr>
                <w:rFonts w:ascii="Arial" w:hAnsi="Arial" w:cs="Arial"/>
                <w:sz w:val="24"/>
                <w:szCs w:val="24"/>
              </w:rPr>
              <w:t xml:space="preserve">  </w:t>
            </w:r>
            <w:r>
              <w:rPr>
                <w:rFonts w:ascii="Arial" w:hAnsi="Arial" w:cs="Arial"/>
                <w:sz w:val="24"/>
                <w:szCs w:val="24"/>
              </w:rPr>
              <w:t>children and upskill staff and leaders in school wide provision</w:t>
            </w:r>
            <w:r w:rsidR="00F47C9D">
              <w:rPr>
                <w:rFonts w:ascii="Arial" w:hAnsi="Arial" w:cs="Arial"/>
                <w:sz w:val="24"/>
                <w:szCs w:val="24"/>
              </w:rPr>
              <w:t xml:space="preserve"> </w:t>
            </w:r>
            <w:r w:rsidR="00F47C9D" w:rsidRPr="00465E08">
              <w:rPr>
                <w:rFonts w:ascii="Arial" w:hAnsi="Arial" w:cs="Arial"/>
                <w:b/>
                <w:color w:val="002060"/>
                <w:sz w:val="24"/>
                <w:szCs w:val="24"/>
              </w:rPr>
              <w:t>£4000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F0CD292" w:rsidR="00E66558" w:rsidRDefault="00CD66D8">
            <w:pPr>
              <w:pStyle w:val="TableRowCentered"/>
              <w:jc w:val="left"/>
              <w:rPr>
                <w:sz w:val="22"/>
              </w:rPr>
            </w:pPr>
            <w:hyperlink r:id="rId24" w:history="1">
              <w:r w:rsidR="002D347E">
                <w:rPr>
                  <w:rStyle w:val="Hyperlink"/>
                </w:rPr>
                <w:t>Social and emotional learning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B711B1C" w:rsidR="00E66558" w:rsidRDefault="00523119">
            <w:pPr>
              <w:pStyle w:val="TableRowCentered"/>
              <w:jc w:val="left"/>
              <w:rPr>
                <w:sz w:val="22"/>
              </w:rPr>
            </w:pPr>
            <w:r>
              <w:rPr>
                <w:sz w:val="22"/>
              </w:rPr>
              <w:t>1, 4</w:t>
            </w:r>
          </w:p>
        </w:tc>
      </w:tr>
      <w:tr w:rsidR="00E66558" w14:paraId="2A7D5530"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0E8B" w14:textId="77777777" w:rsidR="00E66558" w:rsidRDefault="00704E48" w:rsidP="00423B77">
            <w:pPr>
              <w:pStyle w:val="NoSpacing"/>
              <w:rPr>
                <w:rFonts w:ascii="Arial" w:hAnsi="Arial" w:cs="Arial"/>
                <w:sz w:val="24"/>
                <w:szCs w:val="24"/>
              </w:rPr>
            </w:pPr>
            <w:r>
              <w:rPr>
                <w:rFonts w:ascii="Arial" w:hAnsi="Arial" w:cs="Arial"/>
                <w:sz w:val="24"/>
                <w:szCs w:val="24"/>
              </w:rPr>
              <w:t xml:space="preserve">Provision of a </w:t>
            </w:r>
            <w:r w:rsidR="00D4009F" w:rsidRPr="00423B77">
              <w:rPr>
                <w:rFonts w:ascii="Arial" w:hAnsi="Arial" w:cs="Arial"/>
                <w:sz w:val="24"/>
                <w:szCs w:val="24"/>
              </w:rPr>
              <w:t xml:space="preserve">Speech &amp; </w:t>
            </w:r>
            <w:r w:rsidR="002C1619">
              <w:rPr>
                <w:rFonts w:ascii="Arial" w:hAnsi="Arial" w:cs="Arial"/>
                <w:sz w:val="24"/>
                <w:szCs w:val="24"/>
              </w:rPr>
              <w:t xml:space="preserve">       </w:t>
            </w:r>
            <w:r w:rsidR="00D4009F" w:rsidRPr="00423B77">
              <w:rPr>
                <w:rFonts w:ascii="Arial" w:hAnsi="Arial" w:cs="Arial"/>
                <w:sz w:val="24"/>
                <w:szCs w:val="24"/>
              </w:rPr>
              <w:t>Language Therapist</w:t>
            </w:r>
            <w:r>
              <w:rPr>
                <w:rFonts w:ascii="Arial" w:hAnsi="Arial" w:cs="Arial"/>
                <w:sz w:val="24"/>
                <w:szCs w:val="24"/>
              </w:rPr>
              <w:t xml:space="preserve"> on a weekly basis to target support for </w:t>
            </w:r>
            <w:r w:rsidR="00F47C9D">
              <w:rPr>
                <w:rFonts w:ascii="Arial" w:hAnsi="Arial" w:cs="Arial"/>
                <w:sz w:val="24"/>
                <w:szCs w:val="24"/>
              </w:rPr>
              <w:t xml:space="preserve">     </w:t>
            </w:r>
            <w:r>
              <w:rPr>
                <w:rFonts w:ascii="Arial" w:hAnsi="Arial" w:cs="Arial"/>
                <w:sz w:val="24"/>
                <w:szCs w:val="24"/>
              </w:rPr>
              <w:t xml:space="preserve">specific children and upskill staff and leaders in school wide </w:t>
            </w:r>
            <w:r w:rsidR="00F47C9D">
              <w:rPr>
                <w:rFonts w:ascii="Arial" w:hAnsi="Arial" w:cs="Arial"/>
                <w:sz w:val="24"/>
                <w:szCs w:val="24"/>
              </w:rPr>
              <w:t xml:space="preserve">    </w:t>
            </w:r>
            <w:r>
              <w:rPr>
                <w:rFonts w:ascii="Arial" w:hAnsi="Arial" w:cs="Arial"/>
                <w:sz w:val="24"/>
                <w:szCs w:val="24"/>
              </w:rPr>
              <w:t>provision</w:t>
            </w:r>
            <w:r w:rsidR="00F47C9D">
              <w:rPr>
                <w:rFonts w:ascii="Arial" w:hAnsi="Arial" w:cs="Arial"/>
                <w:sz w:val="24"/>
                <w:szCs w:val="24"/>
              </w:rPr>
              <w:t xml:space="preserve">  </w:t>
            </w:r>
          </w:p>
          <w:p w14:paraId="2A7D552D" w14:textId="10033265" w:rsidR="002C1619" w:rsidRPr="0016139F" w:rsidRDefault="0016139F" w:rsidP="00423B77">
            <w:pPr>
              <w:pStyle w:val="NoSpacing"/>
              <w:rPr>
                <w:rFonts w:ascii="Arial" w:hAnsi="Arial" w:cs="Arial"/>
                <w:b/>
                <w:sz w:val="24"/>
                <w:szCs w:val="24"/>
              </w:rPr>
            </w:pPr>
            <w:r w:rsidRPr="0016139F">
              <w:rPr>
                <w:rFonts w:ascii="Arial" w:hAnsi="Arial" w:cs="Arial"/>
                <w:b/>
                <w:color w:val="002060"/>
                <w:sz w:val="24"/>
                <w:szCs w:val="24"/>
              </w:rPr>
              <w:t>£</w:t>
            </w:r>
            <w:r w:rsidRPr="00465E08">
              <w:rPr>
                <w:rFonts w:ascii="Arial" w:hAnsi="Arial" w:cs="Arial"/>
                <w:b/>
                <w:color w:val="002060"/>
                <w:sz w:val="24"/>
                <w:szCs w:val="24"/>
              </w:rPr>
              <w:t>1430</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7F73" w14:textId="77777777" w:rsidR="00E66558" w:rsidRDefault="00CD66D8">
            <w:pPr>
              <w:pStyle w:val="TableRowCentered"/>
              <w:jc w:val="left"/>
            </w:pPr>
            <w:hyperlink r:id="rId25" w:history="1">
              <w:r w:rsidR="00E20D89">
                <w:rPr>
                  <w:rStyle w:val="Hyperlink"/>
                </w:rPr>
                <w:t>Early years interventions | Toolkit Strand | Education Endowment Foundation | EEF</w:t>
              </w:r>
            </w:hyperlink>
          </w:p>
          <w:p w14:paraId="2A7D552E" w14:textId="13DE7991" w:rsidR="00E20D89" w:rsidRDefault="00CD66D8">
            <w:pPr>
              <w:pStyle w:val="TableRowCentered"/>
              <w:jc w:val="left"/>
              <w:rPr>
                <w:sz w:val="22"/>
              </w:rPr>
            </w:pPr>
            <w:hyperlink r:id="rId26" w:history="1">
              <w:r w:rsidR="00E20D89">
                <w:rPr>
                  <w:rStyle w:val="Hyperlink"/>
                </w:rPr>
                <w:t>Oral language interventions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61FC945" w:rsidR="00E66558" w:rsidRDefault="00523119">
            <w:pPr>
              <w:pStyle w:val="TableRowCentered"/>
              <w:jc w:val="left"/>
              <w:rPr>
                <w:sz w:val="22"/>
              </w:rPr>
            </w:pPr>
            <w:r>
              <w:rPr>
                <w:sz w:val="22"/>
              </w:rPr>
              <w:t>4</w:t>
            </w:r>
          </w:p>
        </w:tc>
      </w:tr>
      <w:tr w:rsidR="00F47C9D" w14:paraId="7A0A4AF6"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743" w14:textId="77777777" w:rsidR="002C1619" w:rsidRDefault="00F47C9D" w:rsidP="0048659C">
            <w:pPr>
              <w:pStyle w:val="NoSpacing"/>
              <w:rPr>
                <w:rFonts w:ascii="Arial" w:hAnsi="Arial" w:cs="Arial"/>
                <w:sz w:val="24"/>
              </w:rPr>
            </w:pPr>
            <w:r>
              <w:rPr>
                <w:rFonts w:ascii="Arial" w:hAnsi="Arial" w:cs="Arial"/>
                <w:sz w:val="24"/>
              </w:rPr>
              <w:t xml:space="preserve">Mental health and wellbeing support worker employed to work alongside Safeguarding and Welfare Officer, in order to increase capacity to provide high-quality pastoral and mental health support to pupils </w:t>
            </w:r>
          </w:p>
          <w:p w14:paraId="12F0AAA0" w14:textId="04311D6E" w:rsidR="00F47C9D" w:rsidRDefault="00465E08" w:rsidP="0048659C">
            <w:pPr>
              <w:pStyle w:val="NoSpacing"/>
              <w:rPr>
                <w:rFonts w:ascii="Arial" w:hAnsi="Arial" w:cs="Arial"/>
                <w:sz w:val="24"/>
              </w:rPr>
            </w:pPr>
            <w:r w:rsidRPr="00465E08">
              <w:rPr>
                <w:rFonts w:ascii="Arial" w:hAnsi="Arial" w:cs="Arial"/>
                <w:b/>
                <w:color w:val="002060"/>
                <w:sz w:val="24"/>
              </w:rPr>
              <w:t>£23,057</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15BFC" w14:textId="77777777" w:rsidR="00F47C9D" w:rsidRDefault="00CD66D8" w:rsidP="00F47C9D">
            <w:pPr>
              <w:pStyle w:val="TableRowCentered"/>
              <w:jc w:val="left"/>
            </w:pPr>
            <w:hyperlink r:id="rId27" w:history="1">
              <w:r w:rsidR="00F47C9D">
                <w:rPr>
                  <w:rStyle w:val="Hyperlink"/>
                </w:rPr>
                <w:t>Behaviour interventions | Toolkit Strand | Education Endowment Foundation | EEF</w:t>
              </w:r>
            </w:hyperlink>
          </w:p>
          <w:p w14:paraId="35CE7BD1" w14:textId="0142B7B4" w:rsidR="00F47C9D" w:rsidRDefault="00CD66D8" w:rsidP="00F47C9D">
            <w:pPr>
              <w:pStyle w:val="TableRowCentered"/>
              <w:jc w:val="left"/>
            </w:pPr>
            <w:hyperlink r:id="rId28" w:history="1">
              <w:r w:rsidR="00F47C9D">
                <w:rPr>
                  <w:rStyle w:val="Hyperlink"/>
                </w:rPr>
                <w:t>Social and emotional learning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0C389" w14:textId="77777777" w:rsidR="00F47C9D" w:rsidRDefault="00F47C9D" w:rsidP="006469C6">
            <w:pPr>
              <w:pStyle w:val="TableRowCentered"/>
              <w:jc w:val="left"/>
              <w:rPr>
                <w:sz w:val="22"/>
              </w:rPr>
            </w:pPr>
          </w:p>
        </w:tc>
      </w:tr>
    </w:tbl>
    <w:p w14:paraId="5FF62FB0" w14:textId="77777777" w:rsidR="00D97C65" w:rsidRDefault="00D97C65">
      <w:pPr>
        <w:rPr>
          <w:b/>
          <w:color w:val="104F75"/>
          <w:sz w:val="28"/>
          <w:szCs w:val="28"/>
        </w:rPr>
      </w:pPr>
    </w:p>
    <w:p w14:paraId="2A7D5532" w14:textId="02905C24" w:rsidR="00E66558" w:rsidRDefault="009D71E8">
      <w:pPr>
        <w:rPr>
          <w:b/>
          <w:color w:val="104F75"/>
          <w:sz w:val="28"/>
          <w:szCs w:val="28"/>
        </w:rPr>
      </w:pPr>
      <w:r>
        <w:rPr>
          <w:b/>
          <w:color w:val="104F75"/>
          <w:sz w:val="28"/>
          <w:szCs w:val="28"/>
        </w:rPr>
        <w:t>Wider strategies (for example, related to attendance, behaviour, wellbeing)</w:t>
      </w:r>
    </w:p>
    <w:p w14:paraId="2A7D5533" w14:textId="1F4DF1B3" w:rsidR="00E66558" w:rsidRDefault="00523119">
      <w:pPr>
        <w:spacing w:before="240" w:after="120"/>
      </w:pPr>
      <w:r>
        <w:t xml:space="preserve">Budgeted cost: </w:t>
      </w:r>
      <w:r w:rsidR="00AA69A4">
        <w:rPr>
          <w:b/>
          <w:color w:val="002060"/>
        </w:rPr>
        <w:t>£4</w:t>
      </w:r>
      <w:r w:rsidR="00465E08">
        <w:rPr>
          <w:b/>
          <w:color w:val="002060"/>
        </w:rPr>
        <w:t>9,295</w:t>
      </w:r>
    </w:p>
    <w:tbl>
      <w:tblPr>
        <w:tblW w:w="5216" w:type="pct"/>
        <w:tblCellMar>
          <w:left w:w="10" w:type="dxa"/>
          <w:right w:w="10" w:type="dxa"/>
        </w:tblCellMar>
        <w:tblLook w:val="04A0" w:firstRow="1" w:lastRow="0" w:firstColumn="1" w:lastColumn="0" w:noHBand="0" w:noVBand="1"/>
      </w:tblPr>
      <w:tblGrid>
        <w:gridCol w:w="3685"/>
        <w:gridCol w:w="4680"/>
        <w:gridCol w:w="1531"/>
      </w:tblGrid>
      <w:tr w:rsidR="00E66558" w14:paraId="2A7D5537"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6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B095CCB" w:rsidR="00E66558" w:rsidRPr="00423B77" w:rsidRDefault="0048659C" w:rsidP="0048659C">
            <w:pPr>
              <w:pStyle w:val="NoSpacing"/>
              <w:rPr>
                <w:rFonts w:ascii="Arial" w:hAnsi="Arial" w:cs="Arial"/>
                <w:sz w:val="24"/>
              </w:rPr>
            </w:pPr>
            <w:r>
              <w:rPr>
                <w:rFonts w:ascii="Arial" w:hAnsi="Arial" w:cs="Arial"/>
                <w:sz w:val="24"/>
              </w:rPr>
              <w:t>Provision of a parental involvement worker to lead attendance; provides</w:t>
            </w:r>
            <w:r w:rsidR="00704E48">
              <w:rPr>
                <w:rFonts w:ascii="Arial" w:hAnsi="Arial" w:cs="Arial"/>
                <w:sz w:val="24"/>
              </w:rPr>
              <w:t xml:space="preserve"> support</w:t>
            </w:r>
            <w:r>
              <w:rPr>
                <w:rFonts w:ascii="Arial" w:hAnsi="Arial" w:cs="Arial"/>
                <w:sz w:val="24"/>
              </w:rPr>
              <w:t xml:space="preserve"> to</w:t>
            </w:r>
            <w:r w:rsidR="00704E48">
              <w:rPr>
                <w:rFonts w:ascii="Arial" w:hAnsi="Arial" w:cs="Arial"/>
                <w:sz w:val="24"/>
              </w:rPr>
              <w:t xml:space="preserve"> our families in ensuring children attend school, as well as upskill our own staff.</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162F11B" w:rsidR="00E66558" w:rsidRDefault="00CD66D8">
            <w:pPr>
              <w:pStyle w:val="TableRowCentered"/>
              <w:jc w:val="left"/>
              <w:rPr>
                <w:sz w:val="22"/>
              </w:rPr>
            </w:pPr>
            <w:hyperlink r:id="rId29" w:history="1">
              <w:r w:rsidR="002D347E">
                <w:rPr>
                  <w:rStyle w:val="Hyperlink"/>
                </w:rPr>
                <w:t>Parental engagement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D21C2A6" w:rsidR="00E66558" w:rsidRDefault="00523119">
            <w:pPr>
              <w:pStyle w:val="TableRowCentered"/>
              <w:jc w:val="left"/>
              <w:rPr>
                <w:sz w:val="22"/>
              </w:rPr>
            </w:pPr>
            <w:r>
              <w:rPr>
                <w:sz w:val="22"/>
              </w:rPr>
              <w:t>2</w:t>
            </w:r>
          </w:p>
        </w:tc>
      </w:tr>
      <w:tr w:rsidR="00465E08" w14:paraId="0166C101"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AC98" w14:textId="165DAF85" w:rsidR="00465E08" w:rsidRDefault="00465E08" w:rsidP="00465E08">
            <w:pPr>
              <w:pStyle w:val="NoSpacing"/>
              <w:rPr>
                <w:rFonts w:ascii="Arial" w:hAnsi="Arial" w:cs="Arial"/>
                <w:sz w:val="24"/>
              </w:rPr>
            </w:pPr>
            <w:r>
              <w:rPr>
                <w:rFonts w:ascii="Arial" w:hAnsi="Arial" w:cs="Arial"/>
                <w:sz w:val="24"/>
              </w:rPr>
              <w:t xml:space="preserve">Employment of a Safeguarding and Welfare Officer that focuses on providing support to             individuals and small groups in </w:t>
            </w:r>
            <w:r>
              <w:rPr>
                <w:rFonts w:ascii="Arial" w:hAnsi="Arial" w:cs="Arial"/>
                <w:sz w:val="24"/>
              </w:rPr>
              <w:lastRenderedPageBreak/>
              <w:t xml:space="preserve">class and outside of class </w:t>
            </w:r>
            <w:r w:rsidRPr="00465E08">
              <w:rPr>
                <w:rFonts w:ascii="Arial" w:hAnsi="Arial" w:cs="Arial"/>
                <w:b/>
                <w:color w:val="002060"/>
                <w:sz w:val="24"/>
              </w:rPr>
              <w:t>£33,295</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32C7A" w14:textId="77777777" w:rsidR="00465E08" w:rsidRDefault="00CD66D8" w:rsidP="00465E08">
            <w:pPr>
              <w:pStyle w:val="TableRowCentered"/>
              <w:jc w:val="left"/>
            </w:pPr>
            <w:hyperlink r:id="rId30" w:history="1">
              <w:r w:rsidR="00465E08">
                <w:rPr>
                  <w:rStyle w:val="Hyperlink"/>
                </w:rPr>
                <w:t>Behaviour interventions | Toolkit Strand | Education Endowment Foundation | EEF</w:t>
              </w:r>
            </w:hyperlink>
          </w:p>
          <w:p w14:paraId="14200B01" w14:textId="176E0FC7" w:rsidR="00465E08" w:rsidRDefault="00CD66D8" w:rsidP="00465E08">
            <w:pPr>
              <w:pStyle w:val="TableRowCentered"/>
              <w:jc w:val="left"/>
            </w:pPr>
            <w:hyperlink r:id="rId31" w:history="1">
              <w:r w:rsidR="00465E08">
                <w:rPr>
                  <w:rStyle w:val="Hyperlink"/>
                </w:rPr>
                <w:t>Social and emotional learning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D94A" w14:textId="745FF565" w:rsidR="00465E08" w:rsidRDefault="00465E08" w:rsidP="00465E08">
            <w:pPr>
              <w:pStyle w:val="TableRowCentered"/>
              <w:jc w:val="left"/>
              <w:rPr>
                <w:sz w:val="22"/>
              </w:rPr>
            </w:pPr>
            <w:r>
              <w:rPr>
                <w:sz w:val="22"/>
              </w:rPr>
              <w:lastRenderedPageBreak/>
              <w:t>1, 5, 7, 8</w:t>
            </w:r>
          </w:p>
        </w:tc>
      </w:tr>
      <w:tr w:rsidR="00465E08" w14:paraId="26C4D199"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4708" w14:textId="6B37FB5B" w:rsidR="00465E08" w:rsidRDefault="00465E08" w:rsidP="00465E08">
            <w:pPr>
              <w:pStyle w:val="NoSpacing"/>
              <w:rPr>
                <w:rFonts w:ascii="Arial" w:hAnsi="Arial" w:cs="Arial"/>
                <w:sz w:val="24"/>
              </w:rPr>
            </w:pPr>
            <w:r>
              <w:rPr>
                <w:rFonts w:ascii="Arial" w:hAnsi="Arial" w:cs="Arial"/>
                <w:sz w:val="24"/>
              </w:rPr>
              <w:t>Provision of school u</w:t>
            </w:r>
            <w:r w:rsidRPr="00423B77">
              <w:rPr>
                <w:rFonts w:ascii="Arial" w:hAnsi="Arial" w:cs="Arial"/>
                <w:sz w:val="24"/>
              </w:rPr>
              <w:t>niform</w:t>
            </w:r>
            <w:r>
              <w:rPr>
                <w:rFonts w:ascii="Arial" w:hAnsi="Arial" w:cs="Arial"/>
                <w:sz w:val="24"/>
              </w:rPr>
              <w:t xml:space="preserve"> for those disadvantaged by their access to uniform </w:t>
            </w:r>
          </w:p>
          <w:p w14:paraId="56712099" w14:textId="37379ABC" w:rsidR="00465E08" w:rsidRPr="00465E08" w:rsidRDefault="00465E08" w:rsidP="00465E08">
            <w:pPr>
              <w:pStyle w:val="NoSpacing"/>
              <w:rPr>
                <w:rFonts w:ascii="Arial" w:hAnsi="Arial" w:cs="Arial"/>
                <w:b/>
                <w:sz w:val="24"/>
              </w:rPr>
            </w:pPr>
            <w:r w:rsidRPr="00465E08">
              <w:rPr>
                <w:rFonts w:ascii="Arial" w:hAnsi="Arial" w:cs="Arial"/>
                <w:b/>
                <w:color w:val="002060"/>
                <w:sz w:val="24"/>
              </w:rPr>
              <w:t>£1000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DA4" w14:textId="520D87CF" w:rsidR="00465E08" w:rsidRDefault="00CD66D8" w:rsidP="00465E08">
            <w:pPr>
              <w:pStyle w:val="TableRowCentered"/>
              <w:jc w:val="left"/>
              <w:rPr>
                <w:sz w:val="22"/>
              </w:rPr>
            </w:pPr>
            <w:hyperlink r:id="rId32" w:history="1">
              <w:r w:rsidR="00465E08">
                <w:rPr>
                  <w:rStyle w:val="Hyperlink"/>
                </w:rPr>
                <w:t>School uniform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012D" w14:textId="269C63A3" w:rsidR="00465E08" w:rsidRDefault="00465E08" w:rsidP="00465E08">
            <w:pPr>
              <w:pStyle w:val="TableRowCentered"/>
              <w:jc w:val="left"/>
              <w:rPr>
                <w:sz w:val="22"/>
              </w:rPr>
            </w:pPr>
            <w:r>
              <w:rPr>
                <w:sz w:val="22"/>
              </w:rPr>
              <w:t>8</w:t>
            </w:r>
          </w:p>
        </w:tc>
      </w:tr>
      <w:tr w:rsidR="00465E08" w14:paraId="6B9B0C75" w14:textId="77777777" w:rsidTr="0048659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BE517" w14:textId="77777777" w:rsidR="00465E08" w:rsidRDefault="00465E08" w:rsidP="00465E08">
            <w:pPr>
              <w:pStyle w:val="NoSpacing"/>
              <w:rPr>
                <w:rFonts w:ascii="Arial" w:hAnsi="Arial" w:cs="Arial"/>
                <w:sz w:val="24"/>
              </w:rPr>
            </w:pPr>
            <w:r>
              <w:rPr>
                <w:rFonts w:ascii="Arial" w:hAnsi="Arial" w:cs="Arial"/>
                <w:sz w:val="24"/>
              </w:rPr>
              <w:t>Provision of additional t</w:t>
            </w:r>
            <w:r w:rsidRPr="00423B77">
              <w:rPr>
                <w:rFonts w:ascii="Arial" w:hAnsi="Arial" w:cs="Arial"/>
                <w:sz w:val="24"/>
              </w:rPr>
              <w:t xml:space="preserve">rips and enrichment </w:t>
            </w:r>
            <w:r>
              <w:rPr>
                <w:rFonts w:ascii="Arial" w:hAnsi="Arial" w:cs="Arial"/>
                <w:sz w:val="24"/>
              </w:rPr>
              <w:t>that raise cultural capital and ensure children have the same opportunities as their peers, including raising their ambition, including provision of t</w:t>
            </w:r>
            <w:r w:rsidRPr="00423B77">
              <w:rPr>
                <w:rFonts w:ascii="Arial" w:hAnsi="Arial" w:cs="Arial"/>
                <w:sz w:val="24"/>
              </w:rPr>
              <w:t>ransport</w:t>
            </w:r>
            <w:r>
              <w:rPr>
                <w:rFonts w:ascii="Arial" w:hAnsi="Arial" w:cs="Arial"/>
                <w:sz w:val="24"/>
              </w:rPr>
              <w:t xml:space="preserve"> where needed so no child is disadvantaged by their inability to attend</w:t>
            </w:r>
          </w:p>
          <w:p w14:paraId="217904CF" w14:textId="490B5815" w:rsidR="00465E08" w:rsidRPr="00465E08" w:rsidRDefault="00465E08" w:rsidP="00465E08">
            <w:pPr>
              <w:pStyle w:val="NoSpacing"/>
              <w:rPr>
                <w:rFonts w:ascii="Arial" w:hAnsi="Arial" w:cs="Arial"/>
                <w:b/>
                <w:sz w:val="24"/>
              </w:rPr>
            </w:pPr>
            <w:r w:rsidRPr="00465E08">
              <w:rPr>
                <w:rFonts w:ascii="Arial" w:hAnsi="Arial" w:cs="Arial"/>
                <w:b/>
                <w:color w:val="002060"/>
                <w:sz w:val="24"/>
              </w:rPr>
              <w:t>£15,000</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3C0A" w14:textId="7E731FE0" w:rsidR="00465E08" w:rsidRDefault="00CD66D8" w:rsidP="00465E08">
            <w:pPr>
              <w:pStyle w:val="TableRowCentered"/>
              <w:jc w:val="left"/>
              <w:rPr>
                <w:sz w:val="22"/>
              </w:rPr>
            </w:pPr>
            <w:hyperlink r:id="rId33" w:history="1">
              <w:r w:rsidR="00465E08">
                <w:rPr>
                  <w:rStyle w:val="Hyperlink"/>
                </w:rPr>
                <w:t>Aspiration interventions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0E66" w14:textId="2DBE059C" w:rsidR="00465E08" w:rsidRDefault="00465E08" w:rsidP="00465E08">
            <w:pPr>
              <w:pStyle w:val="TableRowCentered"/>
              <w:jc w:val="left"/>
              <w:rPr>
                <w:sz w:val="22"/>
              </w:rPr>
            </w:pPr>
            <w:r>
              <w:rPr>
                <w:sz w:val="22"/>
              </w:rPr>
              <w:t>5, 6, 8</w:t>
            </w:r>
          </w:p>
        </w:tc>
      </w:tr>
    </w:tbl>
    <w:p w14:paraId="2A7D5540" w14:textId="77777777" w:rsidR="00E66558" w:rsidRDefault="00E66558">
      <w:pPr>
        <w:spacing w:before="240" w:after="0"/>
        <w:rPr>
          <w:b/>
          <w:bCs/>
          <w:color w:val="104F75"/>
          <w:sz w:val="28"/>
          <w:szCs w:val="28"/>
        </w:rPr>
      </w:pPr>
    </w:p>
    <w:p w14:paraId="2A7D5541" w14:textId="58A40221" w:rsidR="00E66558" w:rsidRDefault="00D126BC" w:rsidP="00120AB1">
      <w:r>
        <w:rPr>
          <w:b/>
          <w:bCs/>
          <w:color w:val="104F75"/>
          <w:sz w:val="28"/>
          <w:szCs w:val="28"/>
        </w:rPr>
        <w:t xml:space="preserve">Total budgeted cost: </w:t>
      </w:r>
      <w:r w:rsidR="00817653" w:rsidRPr="00817653">
        <w:rPr>
          <w:b/>
          <w:bCs/>
          <w:color w:val="002060"/>
          <w:sz w:val="28"/>
          <w:szCs w:val="28"/>
        </w:rPr>
        <w:t>£158,360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8A49BBF" w:rsidR="00E66558" w:rsidRPr="00951229" w:rsidRDefault="009D71E8">
      <w:r w:rsidRPr="00951229">
        <w:t xml:space="preserve">This details the impact that our pupil premium activity had on pupils in the </w:t>
      </w:r>
      <w:r w:rsidR="00D627F3">
        <w:t>20</w:t>
      </w:r>
      <w:r w:rsidR="00594B68">
        <w:t xml:space="preserve">24-2025 </w:t>
      </w:r>
      <w:r w:rsidRPr="00951229">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64C00" w14:textId="77777777" w:rsidR="00594B68" w:rsidRPr="00F83340" w:rsidRDefault="00AA107D" w:rsidP="00594B68">
            <w:pPr>
              <w:shd w:val="clear" w:color="auto" w:fill="95B3D7" w:themeFill="accent1" w:themeFillTint="99"/>
              <w:spacing w:before="100" w:beforeAutospacing="1" w:after="100" w:afterAutospacing="1"/>
              <w:outlineLvl w:val="0"/>
              <w:rPr>
                <w:rFonts w:cs="Arial"/>
                <w:b/>
                <w:bCs/>
                <w:kern w:val="36"/>
                <w:sz w:val="22"/>
                <w:szCs w:val="22"/>
              </w:rPr>
            </w:pPr>
            <w:r w:rsidRPr="00594B68">
              <w:rPr>
                <w:color w:val="auto"/>
                <w:lang w:eastAsia="en-US"/>
              </w:rPr>
              <w:t xml:space="preserve"> </w:t>
            </w:r>
            <w:r w:rsidR="00594B68" w:rsidRPr="00F83340">
              <w:rPr>
                <w:rFonts w:cs="Arial"/>
                <w:b/>
                <w:bCs/>
                <w:kern w:val="36"/>
                <w:sz w:val="22"/>
                <w:szCs w:val="22"/>
              </w:rPr>
              <w:t xml:space="preserve">Overall Narrative Summary </w:t>
            </w:r>
          </w:p>
          <w:p w14:paraId="394E7757" w14:textId="7581D747" w:rsidR="00594B68" w:rsidRPr="00F83340" w:rsidRDefault="00594B68" w:rsidP="00594B68">
            <w:pPr>
              <w:numPr>
                <w:ilvl w:val="0"/>
                <w:numId w:val="38"/>
              </w:numPr>
              <w:suppressAutoHyphens w:val="0"/>
              <w:autoSpaceDN/>
              <w:spacing w:before="100" w:beforeAutospacing="1" w:after="100" w:afterAutospacing="1" w:line="240" w:lineRule="auto"/>
              <w:rPr>
                <w:rFonts w:cs="Arial"/>
                <w:i/>
                <w:sz w:val="22"/>
                <w:szCs w:val="22"/>
              </w:rPr>
            </w:pPr>
            <w:r>
              <w:rPr>
                <w:rFonts w:cs="Arial"/>
                <w:bCs/>
                <w:i/>
                <w:sz w:val="22"/>
                <w:szCs w:val="22"/>
              </w:rPr>
              <w:t>S</w:t>
            </w:r>
            <w:r w:rsidRPr="008D7136">
              <w:rPr>
                <w:rFonts w:cs="Arial"/>
                <w:bCs/>
                <w:i/>
                <w:sz w:val="22"/>
                <w:szCs w:val="22"/>
              </w:rPr>
              <w:t>chool performs exceptionally well for disadvantaged pupils overall</w:t>
            </w:r>
            <w:r w:rsidRPr="00F83340">
              <w:rPr>
                <w:rFonts w:cs="Arial"/>
                <w:i/>
                <w:sz w:val="22"/>
                <w:szCs w:val="22"/>
              </w:rPr>
              <w:t xml:space="preserve">, particularly at </w:t>
            </w:r>
            <w:r w:rsidRPr="008D7136">
              <w:rPr>
                <w:rFonts w:cs="Arial"/>
                <w:bCs/>
                <w:i/>
                <w:sz w:val="22"/>
                <w:szCs w:val="22"/>
              </w:rPr>
              <w:t>KS2</w:t>
            </w:r>
            <w:r w:rsidRPr="00F83340">
              <w:rPr>
                <w:rFonts w:cs="Arial"/>
                <w:i/>
                <w:sz w:val="22"/>
                <w:szCs w:val="22"/>
              </w:rPr>
              <w:t xml:space="preserve">, where </w:t>
            </w:r>
            <w:r w:rsidRPr="008D7136">
              <w:rPr>
                <w:rFonts w:cs="Arial"/>
                <w:bCs/>
                <w:i/>
                <w:sz w:val="22"/>
                <w:szCs w:val="22"/>
              </w:rPr>
              <w:t>disadvantaged pupils exceed national non-disadvantaged</w:t>
            </w:r>
            <w:r w:rsidRPr="00F83340">
              <w:rPr>
                <w:rFonts w:cs="Arial"/>
                <w:i/>
                <w:sz w:val="22"/>
                <w:szCs w:val="22"/>
              </w:rPr>
              <w:t xml:space="preserve"> in most subjects</w:t>
            </w:r>
          </w:p>
          <w:p w14:paraId="12450832" w14:textId="112CA573" w:rsidR="00594B68" w:rsidRPr="00F83340" w:rsidRDefault="00594B68" w:rsidP="00594B68">
            <w:pPr>
              <w:numPr>
                <w:ilvl w:val="0"/>
                <w:numId w:val="38"/>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Gaps at KS2 are extremely small</w:t>
            </w:r>
            <w:r>
              <w:rPr>
                <w:rFonts w:cs="Arial"/>
                <w:i/>
                <w:sz w:val="22"/>
                <w:szCs w:val="22"/>
              </w:rPr>
              <w:t>:</w:t>
            </w:r>
            <w:r w:rsidRPr="00F83340">
              <w:rPr>
                <w:rFonts w:cs="Arial"/>
                <w:i/>
                <w:sz w:val="22"/>
                <w:szCs w:val="22"/>
              </w:rPr>
              <w:t xml:space="preserve"> in Writing &amp; Maths, disadvantaged pupils outperform their non-disadvantaged peers—reversing national trends</w:t>
            </w:r>
          </w:p>
          <w:p w14:paraId="7D58137E" w14:textId="78D3DA8E" w:rsidR="00594B68" w:rsidRPr="00F83340" w:rsidRDefault="00594B68" w:rsidP="00594B68">
            <w:pPr>
              <w:numPr>
                <w:ilvl w:val="0"/>
                <w:numId w:val="38"/>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EYFS outcomes are strong</w:t>
            </w:r>
            <w:r>
              <w:rPr>
                <w:rFonts w:cs="Arial"/>
                <w:bCs/>
                <w:i/>
                <w:sz w:val="22"/>
                <w:szCs w:val="22"/>
              </w:rPr>
              <w:t>;</w:t>
            </w:r>
            <w:r w:rsidRPr="00F83340">
              <w:rPr>
                <w:rFonts w:cs="Arial"/>
                <w:i/>
                <w:sz w:val="22"/>
                <w:szCs w:val="22"/>
              </w:rPr>
              <w:t xml:space="preserve"> providing a positive starting point for disadvantaged children</w:t>
            </w:r>
          </w:p>
          <w:p w14:paraId="36F0C4DB" w14:textId="7274791C" w:rsidR="00594B68" w:rsidRPr="00F83340" w:rsidRDefault="00594B68" w:rsidP="00594B68">
            <w:pPr>
              <w:numPr>
                <w:ilvl w:val="0"/>
                <w:numId w:val="38"/>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Phonics shows broadly typical gaps</w:t>
            </w:r>
            <w:r w:rsidRPr="00F83340">
              <w:rPr>
                <w:rFonts w:cs="Arial"/>
                <w:i/>
                <w:sz w:val="22"/>
                <w:szCs w:val="22"/>
              </w:rPr>
              <w:t>, with disadvantaged scores slightly below national average scores but pass rates in line with national</w:t>
            </w:r>
          </w:p>
          <w:p w14:paraId="4DBCD79B" w14:textId="79572D5E" w:rsidR="00594B68" w:rsidRPr="008D7136" w:rsidRDefault="00594B68" w:rsidP="00594B68">
            <w:pPr>
              <w:numPr>
                <w:ilvl w:val="0"/>
                <w:numId w:val="38"/>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The main area requiring strategic focus is the Year 4 MTC</w:t>
            </w:r>
            <w:r w:rsidRPr="00F83340">
              <w:rPr>
                <w:rFonts w:cs="Arial"/>
                <w:i/>
                <w:sz w:val="22"/>
                <w:szCs w:val="22"/>
              </w:rPr>
              <w:t>, where disadvantaged pupils are underperforming significantly and the in-school gap is far wider than national</w:t>
            </w:r>
          </w:p>
          <w:p w14:paraId="2E8D3D55" w14:textId="39CAAD82" w:rsidR="00594B68" w:rsidRPr="00594B68" w:rsidRDefault="00594B68" w:rsidP="00594B68">
            <w:pPr>
              <w:shd w:val="clear" w:color="auto" w:fill="95B3D7" w:themeFill="accent1" w:themeFillTint="99"/>
              <w:rPr>
                <w:rFonts w:cs="Arial"/>
                <w:b/>
                <w:bCs/>
                <w:iCs/>
                <w:sz w:val="22"/>
                <w:szCs w:val="22"/>
              </w:rPr>
            </w:pPr>
            <w:r w:rsidRPr="00950C04">
              <w:rPr>
                <w:rFonts w:cs="Arial"/>
                <w:b/>
                <w:bCs/>
                <w:iCs/>
                <w:sz w:val="22"/>
                <w:szCs w:val="22"/>
              </w:rPr>
              <w:t>End of KS2 outcomes</w:t>
            </w:r>
            <w:r>
              <w:rPr>
                <w:rFonts w:cs="Arial"/>
                <w:b/>
                <w:bCs/>
                <w:iCs/>
                <w:sz w:val="22"/>
                <w:szCs w:val="22"/>
              </w:rPr>
              <w:t xml:space="preserve"> 2025</w:t>
            </w:r>
          </w:p>
          <w:tbl>
            <w:tblPr>
              <w:tblStyle w:val="TableGrid"/>
              <w:tblW w:w="0" w:type="auto"/>
              <w:tblLook w:val="04A0" w:firstRow="1" w:lastRow="0" w:firstColumn="1" w:lastColumn="0" w:noHBand="0" w:noVBand="1"/>
            </w:tblPr>
            <w:tblGrid>
              <w:gridCol w:w="2433"/>
              <w:gridCol w:w="850"/>
              <w:gridCol w:w="1560"/>
              <w:gridCol w:w="1134"/>
              <w:gridCol w:w="1134"/>
              <w:gridCol w:w="1134"/>
              <w:gridCol w:w="1022"/>
            </w:tblGrid>
            <w:tr w:rsidR="00594B68" w:rsidRPr="007D0BE2" w14:paraId="7142D7F0" w14:textId="77777777" w:rsidTr="00594B68">
              <w:tc>
                <w:tcPr>
                  <w:tcW w:w="2433" w:type="dxa"/>
                  <w:shd w:val="clear" w:color="auto" w:fill="D9D9D9" w:themeFill="background1" w:themeFillShade="D9"/>
                </w:tcPr>
                <w:p w14:paraId="7B76B380" w14:textId="77777777" w:rsidR="00594B68" w:rsidRPr="008D7136" w:rsidRDefault="00594B68" w:rsidP="00594B68">
                  <w:pPr>
                    <w:pStyle w:val="NoSpacing"/>
                  </w:pPr>
                  <w:r w:rsidRPr="008D7136">
                    <w:t>School</w:t>
                  </w:r>
                </w:p>
              </w:tc>
              <w:tc>
                <w:tcPr>
                  <w:tcW w:w="850" w:type="dxa"/>
                  <w:shd w:val="clear" w:color="auto" w:fill="D9D9D9" w:themeFill="background1" w:themeFillShade="D9"/>
                  <w:vAlign w:val="center"/>
                </w:tcPr>
                <w:p w14:paraId="13D13C99" w14:textId="77777777" w:rsidR="00594B68" w:rsidRPr="007D0BE2" w:rsidRDefault="00594B68" w:rsidP="00594B68">
                  <w:pPr>
                    <w:pStyle w:val="NoSpacing"/>
                  </w:pPr>
                  <w:r w:rsidRPr="007D0BE2">
                    <w:t>N</w:t>
                  </w:r>
                </w:p>
              </w:tc>
              <w:tc>
                <w:tcPr>
                  <w:tcW w:w="1560" w:type="dxa"/>
                  <w:shd w:val="clear" w:color="auto" w:fill="D9D9D9" w:themeFill="background1" w:themeFillShade="D9"/>
                  <w:vAlign w:val="center"/>
                </w:tcPr>
                <w:p w14:paraId="5D0E803D" w14:textId="77777777" w:rsidR="00594B68" w:rsidRPr="007D0BE2" w:rsidRDefault="00594B68" w:rsidP="00594B68">
                  <w:pPr>
                    <w:pStyle w:val="NoSpacing"/>
                  </w:pPr>
                  <w:r w:rsidRPr="007D0BE2">
                    <w:t>RWM EXS+</w:t>
                  </w:r>
                </w:p>
              </w:tc>
              <w:tc>
                <w:tcPr>
                  <w:tcW w:w="1134" w:type="dxa"/>
                  <w:shd w:val="clear" w:color="auto" w:fill="D9D9D9" w:themeFill="background1" w:themeFillShade="D9"/>
                  <w:vAlign w:val="center"/>
                </w:tcPr>
                <w:p w14:paraId="105A8904" w14:textId="77777777" w:rsidR="00594B68" w:rsidRPr="007D0BE2" w:rsidRDefault="00594B68" w:rsidP="00594B68">
                  <w:pPr>
                    <w:pStyle w:val="NoSpacing"/>
                  </w:pPr>
                  <w:r w:rsidRPr="007D0BE2">
                    <w:t>Reading</w:t>
                  </w:r>
                </w:p>
              </w:tc>
              <w:tc>
                <w:tcPr>
                  <w:tcW w:w="1134" w:type="dxa"/>
                  <w:shd w:val="clear" w:color="auto" w:fill="D9D9D9" w:themeFill="background1" w:themeFillShade="D9"/>
                  <w:vAlign w:val="center"/>
                </w:tcPr>
                <w:p w14:paraId="7C4724A8" w14:textId="77777777" w:rsidR="00594B68" w:rsidRPr="007D0BE2" w:rsidRDefault="00594B68" w:rsidP="00594B68">
                  <w:pPr>
                    <w:pStyle w:val="NoSpacing"/>
                  </w:pPr>
                  <w:r w:rsidRPr="007D0BE2">
                    <w:t>Writing</w:t>
                  </w:r>
                </w:p>
              </w:tc>
              <w:tc>
                <w:tcPr>
                  <w:tcW w:w="1134" w:type="dxa"/>
                  <w:shd w:val="clear" w:color="auto" w:fill="D9D9D9" w:themeFill="background1" w:themeFillShade="D9"/>
                  <w:vAlign w:val="center"/>
                </w:tcPr>
                <w:p w14:paraId="505648CD" w14:textId="77777777" w:rsidR="00594B68" w:rsidRPr="007D0BE2" w:rsidRDefault="00594B68" w:rsidP="00594B68">
                  <w:pPr>
                    <w:pStyle w:val="NoSpacing"/>
                  </w:pPr>
                  <w:r w:rsidRPr="007D0BE2">
                    <w:t>Maths</w:t>
                  </w:r>
                </w:p>
              </w:tc>
              <w:tc>
                <w:tcPr>
                  <w:tcW w:w="1022" w:type="dxa"/>
                  <w:shd w:val="clear" w:color="auto" w:fill="D9D9D9" w:themeFill="background1" w:themeFillShade="D9"/>
                  <w:vAlign w:val="center"/>
                </w:tcPr>
                <w:p w14:paraId="1933BF69" w14:textId="77777777" w:rsidR="00594B68" w:rsidRPr="007D0BE2" w:rsidRDefault="00594B68" w:rsidP="00594B68">
                  <w:pPr>
                    <w:pStyle w:val="NoSpacing"/>
                  </w:pPr>
                  <w:r w:rsidRPr="007D0BE2">
                    <w:t>GPS</w:t>
                  </w:r>
                </w:p>
              </w:tc>
            </w:tr>
            <w:tr w:rsidR="00594B68" w:rsidRPr="007D0BE2" w14:paraId="41E6DE39" w14:textId="77777777" w:rsidTr="00594B68">
              <w:tc>
                <w:tcPr>
                  <w:tcW w:w="2433" w:type="dxa"/>
                </w:tcPr>
                <w:p w14:paraId="2C630641" w14:textId="77777777" w:rsidR="00594B68" w:rsidRPr="007D0BE2" w:rsidRDefault="00594B68" w:rsidP="00594B68">
                  <w:pPr>
                    <w:pStyle w:val="NoSpacing"/>
                  </w:pPr>
                  <w:r w:rsidRPr="007D0BE2">
                    <w:t>Disadvantaged</w:t>
                  </w:r>
                </w:p>
              </w:tc>
              <w:tc>
                <w:tcPr>
                  <w:tcW w:w="850" w:type="dxa"/>
                  <w:vAlign w:val="center"/>
                </w:tcPr>
                <w:p w14:paraId="6DF3AD06" w14:textId="77777777" w:rsidR="00594B68" w:rsidRPr="007D0BE2" w:rsidRDefault="00594B68" w:rsidP="00594B68">
                  <w:pPr>
                    <w:pStyle w:val="NoSpacing"/>
                  </w:pPr>
                  <w:r w:rsidRPr="007D0BE2">
                    <w:t>23</w:t>
                  </w:r>
                </w:p>
              </w:tc>
              <w:tc>
                <w:tcPr>
                  <w:tcW w:w="1560" w:type="dxa"/>
                  <w:vAlign w:val="center"/>
                </w:tcPr>
                <w:p w14:paraId="3841AEF9" w14:textId="77777777" w:rsidR="00594B68" w:rsidRPr="007D0BE2" w:rsidRDefault="00594B68" w:rsidP="00594B68">
                  <w:pPr>
                    <w:pStyle w:val="NoSpacing"/>
                  </w:pPr>
                  <w:r w:rsidRPr="007D0BE2">
                    <w:t>65.2%</w:t>
                  </w:r>
                </w:p>
              </w:tc>
              <w:tc>
                <w:tcPr>
                  <w:tcW w:w="1134" w:type="dxa"/>
                  <w:vAlign w:val="center"/>
                </w:tcPr>
                <w:p w14:paraId="4AE26098" w14:textId="77777777" w:rsidR="00594B68" w:rsidRPr="007D0BE2" w:rsidRDefault="00594B68" w:rsidP="00594B68">
                  <w:pPr>
                    <w:pStyle w:val="NoSpacing"/>
                  </w:pPr>
                  <w:r w:rsidRPr="007D0BE2">
                    <w:t>73.9%</w:t>
                  </w:r>
                </w:p>
              </w:tc>
              <w:tc>
                <w:tcPr>
                  <w:tcW w:w="1134" w:type="dxa"/>
                  <w:vAlign w:val="center"/>
                </w:tcPr>
                <w:p w14:paraId="69A094C3" w14:textId="77777777" w:rsidR="00594B68" w:rsidRPr="007D0BE2" w:rsidRDefault="00594B68" w:rsidP="00594B68">
                  <w:pPr>
                    <w:pStyle w:val="NoSpacing"/>
                  </w:pPr>
                  <w:r w:rsidRPr="007D0BE2">
                    <w:t>78.2%</w:t>
                  </w:r>
                </w:p>
              </w:tc>
              <w:tc>
                <w:tcPr>
                  <w:tcW w:w="1134" w:type="dxa"/>
                  <w:vAlign w:val="center"/>
                </w:tcPr>
                <w:p w14:paraId="5077EC1C" w14:textId="77777777" w:rsidR="00594B68" w:rsidRPr="007D0BE2" w:rsidRDefault="00594B68" w:rsidP="00594B68">
                  <w:pPr>
                    <w:pStyle w:val="NoSpacing"/>
                  </w:pPr>
                  <w:r w:rsidRPr="007D0BE2">
                    <w:t>73.9%</w:t>
                  </w:r>
                </w:p>
              </w:tc>
              <w:tc>
                <w:tcPr>
                  <w:tcW w:w="1022" w:type="dxa"/>
                  <w:vAlign w:val="center"/>
                </w:tcPr>
                <w:p w14:paraId="23A9BDE6" w14:textId="77777777" w:rsidR="00594B68" w:rsidRPr="007D0BE2" w:rsidRDefault="00594B68" w:rsidP="00594B68">
                  <w:pPr>
                    <w:pStyle w:val="NoSpacing"/>
                  </w:pPr>
                  <w:r w:rsidRPr="007D0BE2">
                    <w:t>82.6%</w:t>
                  </w:r>
                </w:p>
              </w:tc>
            </w:tr>
            <w:tr w:rsidR="00594B68" w:rsidRPr="007D0BE2" w14:paraId="4341D1D5" w14:textId="77777777" w:rsidTr="00594B68">
              <w:tc>
                <w:tcPr>
                  <w:tcW w:w="2433" w:type="dxa"/>
                </w:tcPr>
                <w:p w14:paraId="50E7F6FD" w14:textId="77777777" w:rsidR="00594B68" w:rsidRPr="007D0BE2" w:rsidRDefault="00594B68" w:rsidP="00594B68">
                  <w:pPr>
                    <w:pStyle w:val="NoSpacing"/>
                  </w:pPr>
                  <w:r w:rsidRPr="007D0BE2">
                    <w:t>Non-disadvantaged</w:t>
                  </w:r>
                </w:p>
              </w:tc>
              <w:tc>
                <w:tcPr>
                  <w:tcW w:w="850" w:type="dxa"/>
                  <w:vAlign w:val="center"/>
                </w:tcPr>
                <w:p w14:paraId="6DFB3048" w14:textId="77777777" w:rsidR="00594B68" w:rsidRPr="007D0BE2" w:rsidRDefault="00594B68" w:rsidP="00594B68">
                  <w:pPr>
                    <w:pStyle w:val="NoSpacing"/>
                  </w:pPr>
                  <w:r w:rsidRPr="007D0BE2">
                    <w:t>7</w:t>
                  </w:r>
                </w:p>
              </w:tc>
              <w:tc>
                <w:tcPr>
                  <w:tcW w:w="1560" w:type="dxa"/>
                  <w:vAlign w:val="center"/>
                </w:tcPr>
                <w:p w14:paraId="58783B55" w14:textId="77777777" w:rsidR="00594B68" w:rsidRPr="007D0BE2" w:rsidRDefault="00594B68" w:rsidP="00594B68">
                  <w:pPr>
                    <w:pStyle w:val="NoSpacing"/>
                  </w:pPr>
                  <w:r w:rsidRPr="007D0BE2">
                    <w:t>71.4%</w:t>
                  </w:r>
                </w:p>
              </w:tc>
              <w:tc>
                <w:tcPr>
                  <w:tcW w:w="1134" w:type="dxa"/>
                  <w:vAlign w:val="center"/>
                </w:tcPr>
                <w:p w14:paraId="17890B6A" w14:textId="77777777" w:rsidR="00594B68" w:rsidRPr="007D0BE2" w:rsidRDefault="00594B68" w:rsidP="00594B68">
                  <w:pPr>
                    <w:pStyle w:val="NoSpacing"/>
                  </w:pPr>
                  <w:r w:rsidRPr="007D0BE2">
                    <w:t>85.7%</w:t>
                  </w:r>
                </w:p>
              </w:tc>
              <w:tc>
                <w:tcPr>
                  <w:tcW w:w="1134" w:type="dxa"/>
                  <w:vAlign w:val="center"/>
                </w:tcPr>
                <w:p w14:paraId="7F87ABAF" w14:textId="77777777" w:rsidR="00594B68" w:rsidRPr="007D0BE2" w:rsidRDefault="00594B68" w:rsidP="00594B68">
                  <w:pPr>
                    <w:pStyle w:val="NoSpacing"/>
                  </w:pPr>
                  <w:r w:rsidRPr="007D0BE2">
                    <w:t>71.4%</w:t>
                  </w:r>
                </w:p>
              </w:tc>
              <w:tc>
                <w:tcPr>
                  <w:tcW w:w="1134" w:type="dxa"/>
                  <w:vAlign w:val="center"/>
                </w:tcPr>
                <w:p w14:paraId="12D25209" w14:textId="77777777" w:rsidR="00594B68" w:rsidRPr="007D0BE2" w:rsidRDefault="00594B68" w:rsidP="00594B68">
                  <w:pPr>
                    <w:pStyle w:val="NoSpacing"/>
                  </w:pPr>
                  <w:r w:rsidRPr="007D0BE2">
                    <w:t>71.4%</w:t>
                  </w:r>
                </w:p>
              </w:tc>
              <w:tc>
                <w:tcPr>
                  <w:tcW w:w="1022" w:type="dxa"/>
                  <w:vAlign w:val="center"/>
                </w:tcPr>
                <w:p w14:paraId="29A1E7AE" w14:textId="77777777" w:rsidR="00594B68" w:rsidRPr="007D0BE2" w:rsidRDefault="00594B68" w:rsidP="00594B68">
                  <w:pPr>
                    <w:pStyle w:val="NoSpacing"/>
                  </w:pPr>
                  <w:r w:rsidRPr="007D0BE2">
                    <w:t>85.7%</w:t>
                  </w:r>
                </w:p>
              </w:tc>
            </w:tr>
            <w:tr w:rsidR="00594B68" w:rsidRPr="007D0BE2" w14:paraId="18C5F2C1" w14:textId="77777777" w:rsidTr="00594B68">
              <w:tc>
                <w:tcPr>
                  <w:tcW w:w="2433" w:type="dxa"/>
                </w:tcPr>
                <w:p w14:paraId="4F1BA721" w14:textId="77777777" w:rsidR="00594B68" w:rsidRPr="007D0BE2" w:rsidRDefault="00594B68" w:rsidP="00594B68">
                  <w:pPr>
                    <w:pStyle w:val="NoSpacing"/>
                  </w:pPr>
                  <w:r w:rsidRPr="007D0BE2">
                    <w:t>Gap</w:t>
                  </w:r>
                </w:p>
              </w:tc>
              <w:tc>
                <w:tcPr>
                  <w:tcW w:w="850" w:type="dxa"/>
                  <w:vAlign w:val="center"/>
                </w:tcPr>
                <w:p w14:paraId="72E77327" w14:textId="77777777" w:rsidR="00594B68" w:rsidRPr="007D0BE2" w:rsidRDefault="00594B68" w:rsidP="00594B68">
                  <w:pPr>
                    <w:pStyle w:val="NoSpacing"/>
                  </w:pPr>
                </w:p>
              </w:tc>
              <w:tc>
                <w:tcPr>
                  <w:tcW w:w="1560" w:type="dxa"/>
                  <w:vAlign w:val="center"/>
                </w:tcPr>
                <w:p w14:paraId="34399B07" w14:textId="77777777" w:rsidR="00594B68" w:rsidRPr="007D0BE2" w:rsidRDefault="00594B68" w:rsidP="00594B68">
                  <w:pPr>
                    <w:pStyle w:val="NoSpacing"/>
                  </w:pPr>
                  <w:r w:rsidRPr="007D0BE2">
                    <w:t>-6.2%</w:t>
                  </w:r>
                </w:p>
              </w:tc>
              <w:tc>
                <w:tcPr>
                  <w:tcW w:w="1134" w:type="dxa"/>
                  <w:vAlign w:val="center"/>
                </w:tcPr>
                <w:p w14:paraId="20FD18C3" w14:textId="77777777" w:rsidR="00594B68" w:rsidRPr="007D0BE2" w:rsidRDefault="00594B68" w:rsidP="00594B68">
                  <w:pPr>
                    <w:pStyle w:val="NoSpacing"/>
                  </w:pPr>
                  <w:r w:rsidRPr="007D0BE2">
                    <w:t>-11.2%</w:t>
                  </w:r>
                </w:p>
              </w:tc>
              <w:tc>
                <w:tcPr>
                  <w:tcW w:w="1134" w:type="dxa"/>
                  <w:vAlign w:val="center"/>
                </w:tcPr>
                <w:p w14:paraId="28ABB3AD" w14:textId="77777777" w:rsidR="00594B68" w:rsidRPr="007D0BE2" w:rsidRDefault="00594B68" w:rsidP="00594B68">
                  <w:pPr>
                    <w:pStyle w:val="NoSpacing"/>
                  </w:pPr>
                  <w:r w:rsidRPr="007D0BE2">
                    <w:t>+6.8%</w:t>
                  </w:r>
                </w:p>
              </w:tc>
              <w:tc>
                <w:tcPr>
                  <w:tcW w:w="1134" w:type="dxa"/>
                  <w:vAlign w:val="center"/>
                </w:tcPr>
                <w:p w14:paraId="5E18CE96" w14:textId="77777777" w:rsidR="00594B68" w:rsidRPr="007D0BE2" w:rsidRDefault="00594B68" w:rsidP="00594B68">
                  <w:pPr>
                    <w:pStyle w:val="NoSpacing"/>
                  </w:pPr>
                  <w:r w:rsidRPr="007D0BE2">
                    <w:t>+2.5%</w:t>
                  </w:r>
                </w:p>
              </w:tc>
              <w:tc>
                <w:tcPr>
                  <w:tcW w:w="1022" w:type="dxa"/>
                  <w:vAlign w:val="center"/>
                </w:tcPr>
                <w:p w14:paraId="78BA290E" w14:textId="77777777" w:rsidR="00594B68" w:rsidRPr="007D0BE2" w:rsidRDefault="00594B68" w:rsidP="00594B68">
                  <w:pPr>
                    <w:pStyle w:val="NoSpacing"/>
                  </w:pPr>
                  <w:r w:rsidRPr="007D0BE2">
                    <w:t>-3.1%</w:t>
                  </w:r>
                </w:p>
              </w:tc>
            </w:tr>
          </w:tbl>
          <w:p w14:paraId="7CFE828B" w14:textId="77777777" w:rsidR="00594B68" w:rsidRPr="007D0BE2" w:rsidRDefault="00594B68" w:rsidP="00594B68">
            <w:pPr>
              <w:pStyle w:val="NoSpacing"/>
            </w:pPr>
          </w:p>
          <w:tbl>
            <w:tblPr>
              <w:tblStyle w:val="TableGrid"/>
              <w:tblW w:w="0" w:type="auto"/>
              <w:tblLook w:val="04A0" w:firstRow="1" w:lastRow="0" w:firstColumn="1" w:lastColumn="0" w:noHBand="0" w:noVBand="1"/>
            </w:tblPr>
            <w:tblGrid>
              <w:gridCol w:w="2525"/>
              <w:gridCol w:w="1346"/>
              <w:gridCol w:w="1348"/>
              <w:gridCol w:w="1339"/>
              <w:gridCol w:w="1356"/>
              <w:gridCol w:w="1353"/>
            </w:tblGrid>
            <w:tr w:rsidR="00594B68" w:rsidRPr="007D0BE2" w14:paraId="50768D74" w14:textId="77777777" w:rsidTr="00DB1FF6">
              <w:tc>
                <w:tcPr>
                  <w:tcW w:w="2872" w:type="dxa"/>
                  <w:shd w:val="clear" w:color="auto" w:fill="D9D9D9" w:themeFill="background1" w:themeFillShade="D9"/>
                </w:tcPr>
                <w:p w14:paraId="4AE303AF" w14:textId="77777777" w:rsidR="00594B68" w:rsidRPr="008D7136" w:rsidRDefault="00594B68" w:rsidP="00594B68">
                  <w:pPr>
                    <w:pStyle w:val="NoSpacing"/>
                  </w:pPr>
                  <w:r w:rsidRPr="008D7136">
                    <w:t>National</w:t>
                  </w:r>
                </w:p>
              </w:tc>
              <w:tc>
                <w:tcPr>
                  <w:tcW w:w="1467" w:type="dxa"/>
                  <w:shd w:val="clear" w:color="auto" w:fill="D9D9D9" w:themeFill="background1" w:themeFillShade="D9"/>
                  <w:vAlign w:val="center"/>
                </w:tcPr>
                <w:p w14:paraId="02112DB7" w14:textId="77777777" w:rsidR="00594B68" w:rsidRPr="007D0BE2" w:rsidRDefault="00594B68" w:rsidP="00594B68">
                  <w:pPr>
                    <w:pStyle w:val="NoSpacing"/>
                  </w:pPr>
                  <w:r w:rsidRPr="007D0BE2">
                    <w:t>RWM EXS+</w:t>
                  </w:r>
                </w:p>
              </w:tc>
              <w:tc>
                <w:tcPr>
                  <w:tcW w:w="1467" w:type="dxa"/>
                  <w:shd w:val="clear" w:color="auto" w:fill="D9D9D9" w:themeFill="background1" w:themeFillShade="D9"/>
                  <w:vAlign w:val="center"/>
                </w:tcPr>
                <w:p w14:paraId="6813707D" w14:textId="77777777" w:rsidR="00594B68" w:rsidRPr="007D0BE2" w:rsidRDefault="00594B68" w:rsidP="00594B68">
                  <w:pPr>
                    <w:pStyle w:val="NoSpacing"/>
                  </w:pPr>
                  <w:r w:rsidRPr="007D0BE2">
                    <w:t>Reading</w:t>
                  </w:r>
                </w:p>
              </w:tc>
              <w:tc>
                <w:tcPr>
                  <w:tcW w:w="1467" w:type="dxa"/>
                  <w:shd w:val="clear" w:color="auto" w:fill="D9D9D9" w:themeFill="background1" w:themeFillShade="D9"/>
                  <w:vAlign w:val="center"/>
                </w:tcPr>
                <w:p w14:paraId="4CCF4F4B" w14:textId="77777777" w:rsidR="00594B68" w:rsidRPr="007D0BE2" w:rsidRDefault="00594B68" w:rsidP="00594B68">
                  <w:pPr>
                    <w:pStyle w:val="NoSpacing"/>
                  </w:pPr>
                  <w:r w:rsidRPr="007D0BE2">
                    <w:t>Writing</w:t>
                  </w:r>
                </w:p>
              </w:tc>
              <w:tc>
                <w:tcPr>
                  <w:tcW w:w="1467" w:type="dxa"/>
                  <w:shd w:val="clear" w:color="auto" w:fill="D9D9D9" w:themeFill="background1" w:themeFillShade="D9"/>
                  <w:vAlign w:val="center"/>
                </w:tcPr>
                <w:p w14:paraId="4821BF98" w14:textId="77777777" w:rsidR="00594B68" w:rsidRPr="007D0BE2" w:rsidRDefault="00594B68" w:rsidP="00594B68">
                  <w:pPr>
                    <w:pStyle w:val="NoSpacing"/>
                  </w:pPr>
                  <w:r w:rsidRPr="007D0BE2">
                    <w:t>Maths</w:t>
                  </w:r>
                </w:p>
              </w:tc>
              <w:tc>
                <w:tcPr>
                  <w:tcW w:w="1467" w:type="dxa"/>
                  <w:shd w:val="clear" w:color="auto" w:fill="D9D9D9" w:themeFill="background1" w:themeFillShade="D9"/>
                  <w:vAlign w:val="center"/>
                </w:tcPr>
                <w:p w14:paraId="51C011C5" w14:textId="77777777" w:rsidR="00594B68" w:rsidRPr="007D0BE2" w:rsidRDefault="00594B68" w:rsidP="00594B68">
                  <w:pPr>
                    <w:pStyle w:val="NoSpacing"/>
                  </w:pPr>
                  <w:r w:rsidRPr="007D0BE2">
                    <w:t>GPS</w:t>
                  </w:r>
                </w:p>
              </w:tc>
            </w:tr>
            <w:tr w:rsidR="00594B68" w:rsidRPr="007D0BE2" w14:paraId="067A163C" w14:textId="77777777" w:rsidTr="00DB1FF6">
              <w:tc>
                <w:tcPr>
                  <w:tcW w:w="2872" w:type="dxa"/>
                </w:tcPr>
                <w:p w14:paraId="6F1D81A4" w14:textId="77777777" w:rsidR="00594B68" w:rsidRPr="007D0BE2" w:rsidRDefault="00594B68" w:rsidP="00594B68">
                  <w:pPr>
                    <w:pStyle w:val="NoSpacing"/>
                  </w:pPr>
                  <w:r w:rsidRPr="007D0BE2">
                    <w:t>Disadvantaged</w:t>
                  </w:r>
                </w:p>
              </w:tc>
              <w:tc>
                <w:tcPr>
                  <w:tcW w:w="1467" w:type="dxa"/>
                  <w:vAlign w:val="center"/>
                </w:tcPr>
                <w:p w14:paraId="5A035D00" w14:textId="77777777" w:rsidR="00594B68" w:rsidRPr="007D0BE2" w:rsidRDefault="00594B68" w:rsidP="00594B68">
                  <w:pPr>
                    <w:pStyle w:val="NoSpacing"/>
                  </w:pPr>
                  <w:r w:rsidRPr="007D0BE2">
                    <w:t>47%</w:t>
                  </w:r>
                </w:p>
              </w:tc>
              <w:tc>
                <w:tcPr>
                  <w:tcW w:w="1467" w:type="dxa"/>
                  <w:vAlign w:val="center"/>
                </w:tcPr>
                <w:p w14:paraId="4E139C8B" w14:textId="77777777" w:rsidR="00594B68" w:rsidRPr="007D0BE2" w:rsidRDefault="00594B68" w:rsidP="00594B68">
                  <w:pPr>
                    <w:pStyle w:val="NoSpacing"/>
                  </w:pPr>
                  <w:r w:rsidRPr="007D0BE2">
                    <w:t>63%</w:t>
                  </w:r>
                </w:p>
              </w:tc>
              <w:tc>
                <w:tcPr>
                  <w:tcW w:w="1467" w:type="dxa"/>
                  <w:vAlign w:val="center"/>
                </w:tcPr>
                <w:p w14:paraId="61696EA4" w14:textId="77777777" w:rsidR="00594B68" w:rsidRPr="007D0BE2" w:rsidRDefault="00594B68" w:rsidP="00594B68">
                  <w:pPr>
                    <w:pStyle w:val="NoSpacing"/>
                  </w:pPr>
                  <w:r w:rsidRPr="007D0BE2">
                    <w:t>59%</w:t>
                  </w:r>
                </w:p>
              </w:tc>
              <w:tc>
                <w:tcPr>
                  <w:tcW w:w="1467" w:type="dxa"/>
                  <w:vAlign w:val="center"/>
                </w:tcPr>
                <w:p w14:paraId="24C663DE" w14:textId="77777777" w:rsidR="00594B68" w:rsidRPr="007D0BE2" w:rsidRDefault="00594B68" w:rsidP="00594B68">
                  <w:pPr>
                    <w:pStyle w:val="NoSpacing"/>
                  </w:pPr>
                  <w:r w:rsidRPr="007D0BE2">
                    <w:t>61%</w:t>
                  </w:r>
                </w:p>
              </w:tc>
              <w:tc>
                <w:tcPr>
                  <w:tcW w:w="1467" w:type="dxa"/>
                  <w:vAlign w:val="center"/>
                </w:tcPr>
                <w:p w14:paraId="69F210C4" w14:textId="77777777" w:rsidR="00594B68" w:rsidRPr="007D0BE2" w:rsidRDefault="00594B68" w:rsidP="00594B68">
                  <w:pPr>
                    <w:pStyle w:val="NoSpacing"/>
                  </w:pPr>
                  <w:r w:rsidRPr="007D0BE2">
                    <w:t>59.5%</w:t>
                  </w:r>
                </w:p>
              </w:tc>
            </w:tr>
            <w:tr w:rsidR="00594B68" w:rsidRPr="007D0BE2" w14:paraId="6E0432C6" w14:textId="77777777" w:rsidTr="00DB1FF6">
              <w:tc>
                <w:tcPr>
                  <w:tcW w:w="2872" w:type="dxa"/>
                </w:tcPr>
                <w:p w14:paraId="14B3A5E9" w14:textId="77777777" w:rsidR="00594B68" w:rsidRPr="007D0BE2" w:rsidRDefault="00594B68" w:rsidP="00594B68">
                  <w:pPr>
                    <w:pStyle w:val="NoSpacing"/>
                  </w:pPr>
                  <w:r w:rsidRPr="007D0BE2">
                    <w:t>Non-disadvantaged</w:t>
                  </w:r>
                </w:p>
              </w:tc>
              <w:tc>
                <w:tcPr>
                  <w:tcW w:w="1467" w:type="dxa"/>
                  <w:vAlign w:val="center"/>
                </w:tcPr>
                <w:p w14:paraId="4AF09244" w14:textId="77777777" w:rsidR="00594B68" w:rsidRPr="007D0BE2" w:rsidRDefault="00594B68" w:rsidP="00594B68">
                  <w:pPr>
                    <w:pStyle w:val="NoSpacing"/>
                  </w:pPr>
                  <w:r w:rsidRPr="007D0BE2">
                    <w:t>69%</w:t>
                  </w:r>
                </w:p>
              </w:tc>
              <w:tc>
                <w:tcPr>
                  <w:tcW w:w="1467" w:type="dxa"/>
                  <w:vAlign w:val="center"/>
                </w:tcPr>
                <w:p w14:paraId="0A282481" w14:textId="77777777" w:rsidR="00594B68" w:rsidRPr="007D0BE2" w:rsidRDefault="00594B68" w:rsidP="00594B68">
                  <w:pPr>
                    <w:pStyle w:val="NoSpacing"/>
                  </w:pPr>
                  <w:r w:rsidRPr="007D0BE2">
                    <w:t>81%</w:t>
                  </w:r>
                </w:p>
              </w:tc>
              <w:tc>
                <w:tcPr>
                  <w:tcW w:w="1467" w:type="dxa"/>
                  <w:vAlign w:val="center"/>
                </w:tcPr>
                <w:p w14:paraId="410D2E9F" w14:textId="77777777" w:rsidR="00594B68" w:rsidRPr="007D0BE2" w:rsidRDefault="00594B68" w:rsidP="00594B68">
                  <w:pPr>
                    <w:pStyle w:val="NoSpacing"/>
                  </w:pPr>
                  <w:r w:rsidRPr="007D0BE2">
                    <w:t>78%</w:t>
                  </w:r>
                </w:p>
              </w:tc>
              <w:tc>
                <w:tcPr>
                  <w:tcW w:w="1467" w:type="dxa"/>
                  <w:vAlign w:val="center"/>
                </w:tcPr>
                <w:p w14:paraId="31C267B9" w14:textId="77777777" w:rsidR="00594B68" w:rsidRPr="007D0BE2" w:rsidRDefault="00594B68" w:rsidP="00594B68">
                  <w:pPr>
                    <w:pStyle w:val="NoSpacing"/>
                  </w:pPr>
                  <w:r w:rsidRPr="007D0BE2">
                    <w:t>80%</w:t>
                  </w:r>
                </w:p>
              </w:tc>
              <w:tc>
                <w:tcPr>
                  <w:tcW w:w="1467" w:type="dxa"/>
                  <w:vAlign w:val="center"/>
                </w:tcPr>
                <w:p w14:paraId="0A11F582" w14:textId="77777777" w:rsidR="00594B68" w:rsidRPr="007D0BE2" w:rsidRDefault="00594B68" w:rsidP="00594B68">
                  <w:pPr>
                    <w:pStyle w:val="NoSpacing"/>
                  </w:pPr>
                  <w:r w:rsidRPr="007D0BE2">
                    <w:t>78.6%</w:t>
                  </w:r>
                </w:p>
              </w:tc>
            </w:tr>
            <w:tr w:rsidR="00594B68" w:rsidRPr="007D0BE2" w14:paraId="26E997ED" w14:textId="77777777" w:rsidTr="00DB1FF6">
              <w:tc>
                <w:tcPr>
                  <w:tcW w:w="2872" w:type="dxa"/>
                </w:tcPr>
                <w:p w14:paraId="321CB8C3" w14:textId="77777777" w:rsidR="00594B68" w:rsidRPr="007D0BE2" w:rsidRDefault="00594B68" w:rsidP="00594B68">
                  <w:pPr>
                    <w:pStyle w:val="NoSpacing"/>
                  </w:pPr>
                  <w:r w:rsidRPr="007D0BE2">
                    <w:t>Gap</w:t>
                  </w:r>
                </w:p>
              </w:tc>
              <w:tc>
                <w:tcPr>
                  <w:tcW w:w="1467" w:type="dxa"/>
                  <w:vAlign w:val="center"/>
                </w:tcPr>
                <w:p w14:paraId="12E8DACC" w14:textId="77777777" w:rsidR="00594B68" w:rsidRPr="007D0BE2" w:rsidRDefault="00594B68" w:rsidP="00594B68">
                  <w:pPr>
                    <w:pStyle w:val="NoSpacing"/>
                  </w:pPr>
                  <w:r w:rsidRPr="007D0BE2">
                    <w:t>-22%</w:t>
                  </w:r>
                </w:p>
              </w:tc>
              <w:tc>
                <w:tcPr>
                  <w:tcW w:w="1467" w:type="dxa"/>
                  <w:vAlign w:val="center"/>
                </w:tcPr>
                <w:p w14:paraId="0A1E824E" w14:textId="77777777" w:rsidR="00594B68" w:rsidRPr="007D0BE2" w:rsidRDefault="00594B68" w:rsidP="00594B68">
                  <w:pPr>
                    <w:pStyle w:val="NoSpacing"/>
                  </w:pPr>
                  <w:r w:rsidRPr="007D0BE2">
                    <w:t>-18%</w:t>
                  </w:r>
                </w:p>
              </w:tc>
              <w:tc>
                <w:tcPr>
                  <w:tcW w:w="1467" w:type="dxa"/>
                  <w:vAlign w:val="center"/>
                </w:tcPr>
                <w:p w14:paraId="4F7994AB" w14:textId="77777777" w:rsidR="00594B68" w:rsidRPr="007D0BE2" w:rsidRDefault="00594B68" w:rsidP="00594B68">
                  <w:pPr>
                    <w:pStyle w:val="NoSpacing"/>
                  </w:pPr>
                  <w:r w:rsidRPr="007D0BE2">
                    <w:t>-19%</w:t>
                  </w:r>
                </w:p>
              </w:tc>
              <w:tc>
                <w:tcPr>
                  <w:tcW w:w="1467" w:type="dxa"/>
                  <w:vAlign w:val="center"/>
                </w:tcPr>
                <w:p w14:paraId="06495604" w14:textId="77777777" w:rsidR="00594B68" w:rsidRPr="007D0BE2" w:rsidRDefault="00594B68" w:rsidP="00594B68">
                  <w:pPr>
                    <w:pStyle w:val="NoSpacing"/>
                  </w:pPr>
                  <w:r w:rsidRPr="007D0BE2">
                    <w:t>-19%</w:t>
                  </w:r>
                </w:p>
              </w:tc>
              <w:tc>
                <w:tcPr>
                  <w:tcW w:w="1467" w:type="dxa"/>
                  <w:vAlign w:val="center"/>
                </w:tcPr>
                <w:p w14:paraId="46758E86" w14:textId="77777777" w:rsidR="00594B68" w:rsidRPr="007D0BE2" w:rsidRDefault="00594B68" w:rsidP="00594B68">
                  <w:pPr>
                    <w:pStyle w:val="NoSpacing"/>
                  </w:pPr>
                  <w:r w:rsidRPr="007D0BE2">
                    <w:t>-19.1%</w:t>
                  </w:r>
                </w:p>
              </w:tc>
            </w:tr>
          </w:tbl>
          <w:p w14:paraId="0FB92394" w14:textId="77777777" w:rsidR="00594B68" w:rsidRDefault="00594B68" w:rsidP="00594B68">
            <w:pPr>
              <w:pStyle w:val="NoSpacing"/>
            </w:pPr>
          </w:p>
          <w:p w14:paraId="6DBD6866" w14:textId="753BBC71" w:rsidR="00594B68" w:rsidRPr="00594B68" w:rsidRDefault="00594B68" w:rsidP="00594B68">
            <w:pPr>
              <w:pStyle w:val="NoSpacing"/>
              <w:rPr>
                <w:rFonts w:ascii="Arial" w:hAnsi="Arial" w:cs="Arial"/>
                <w:b/>
                <w:bCs/>
              </w:rPr>
            </w:pPr>
            <w:r w:rsidRPr="00594B68">
              <w:rPr>
                <w:rFonts w:ascii="Arial" w:hAnsi="Arial" w:cs="Arial"/>
                <w:b/>
                <w:bCs/>
              </w:rPr>
              <w:t>Overall picture</w:t>
            </w:r>
          </w:p>
          <w:p w14:paraId="537BEBFB" w14:textId="7CB816EA" w:rsidR="00594B68" w:rsidRPr="00594B68" w:rsidRDefault="00594B68" w:rsidP="00594B68">
            <w:pPr>
              <w:pStyle w:val="NoSpacing"/>
              <w:numPr>
                <w:ilvl w:val="0"/>
                <w:numId w:val="41"/>
              </w:numPr>
              <w:rPr>
                <w:rFonts w:ascii="Arial" w:hAnsi="Arial" w:cs="Arial"/>
              </w:rPr>
            </w:pPr>
            <w:r w:rsidRPr="00594B68">
              <w:rPr>
                <w:rFonts w:ascii="Arial" w:hAnsi="Arial" w:cs="Arial"/>
                <w:i/>
              </w:rPr>
              <w:t xml:space="preserve">Disadvantaged pupils outperform national disadvantaged pupils in every subject, and in many areas outperform national </w:t>
            </w:r>
            <w:r w:rsidRPr="00594B68">
              <w:rPr>
                <w:rFonts w:ascii="Arial" w:hAnsi="Arial" w:cs="Arial"/>
                <w:i/>
                <w:iCs/>
              </w:rPr>
              <w:t>non-disadvantaged</w:t>
            </w:r>
            <w:r w:rsidRPr="00594B68">
              <w:rPr>
                <w:rFonts w:ascii="Arial" w:hAnsi="Arial" w:cs="Arial"/>
                <w:i/>
              </w:rPr>
              <w:t xml:space="preserve"> pupils</w:t>
            </w:r>
          </w:p>
          <w:p w14:paraId="0FFF73C4" w14:textId="34D57A0D" w:rsidR="00594B68" w:rsidRDefault="00594B68" w:rsidP="00594B68">
            <w:pPr>
              <w:pStyle w:val="NoSpacing"/>
              <w:numPr>
                <w:ilvl w:val="0"/>
                <w:numId w:val="41"/>
              </w:numPr>
              <w:rPr>
                <w:rFonts w:ascii="Arial" w:hAnsi="Arial" w:cs="Arial"/>
                <w:i/>
              </w:rPr>
            </w:pPr>
            <w:r w:rsidRPr="00594B68">
              <w:rPr>
                <w:rFonts w:ascii="Arial" w:hAnsi="Arial" w:cs="Arial"/>
                <w:i/>
              </w:rPr>
              <w:t>In-school gaps are small and, in several subjects, reverse the typical national patter</w:t>
            </w:r>
            <w:r>
              <w:rPr>
                <w:rFonts w:ascii="Arial" w:hAnsi="Arial" w:cs="Arial"/>
                <w:i/>
              </w:rPr>
              <w:t>n</w:t>
            </w:r>
          </w:p>
          <w:p w14:paraId="19BC1A26" w14:textId="77777777" w:rsidR="00594B68" w:rsidRPr="00594B68" w:rsidRDefault="00594B68" w:rsidP="00594B68">
            <w:pPr>
              <w:pStyle w:val="NoSpacing"/>
              <w:numPr>
                <w:ilvl w:val="0"/>
                <w:numId w:val="41"/>
              </w:numPr>
              <w:rPr>
                <w:rFonts w:ascii="Arial" w:hAnsi="Arial" w:cs="Arial"/>
                <w:i/>
              </w:rPr>
            </w:pPr>
          </w:p>
          <w:p w14:paraId="5924E6D9" w14:textId="22F444C8" w:rsidR="00594B68" w:rsidRPr="00594B68" w:rsidRDefault="00594B68" w:rsidP="00594B68">
            <w:pPr>
              <w:pStyle w:val="NoSpacing"/>
              <w:rPr>
                <w:rFonts w:ascii="Arial" w:hAnsi="Arial" w:cs="Arial"/>
                <w:b/>
                <w:bCs/>
              </w:rPr>
            </w:pPr>
            <w:r w:rsidRPr="00594B68">
              <w:rPr>
                <w:rFonts w:ascii="Arial" w:hAnsi="Arial" w:cs="Arial"/>
                <w:b/>
                <w:bCs/>
              </w:rPr>
              <w:t>Reading, Writing, Maths (RWM Combined)</w:t>
            </w:r>
          </w:p>
          <w:p w14:paraId="77B900E6" w14:textId="3D54192D" w:rsidR="00594B68" w:rsidRPr="00594B68" w:rsidRDefault="00594B68" w:rsidP="00594B68">
            <w:pPr>
              <w:pStyle w:val="NoSpacing"/>
              <w:numPr>
                <w:ilvl w:val="0"/>
                <w:numId w:val="39"/>
              </w:numPr>
              <w:rPr>
                <w:rFonts w:ascii="Arial" w:hAnsi="Arial" w:cs="Arial"/>
                <w:i/>
              </w:rPr>
            </w:pPr>
            <w:r w:rsidRPr="00594B68">
              <w:rPr>
                <w:rFonts w:ascii="Arial" w:hAnsi="Arial" w:cs="Arial"/>
                <w:i/>
              </w:rPr>
              <w:t xml:space="preserve">Gap -6.2% (school), compared with -22% nationally.  This </w:t>
            </w:r>
            <w:r w:rsidRPr="00594B68">
              <w:rPr>
                <w:rFonts w:ascii="Arial" w:hAnsi="Arial" w:cs="Arial"/>
                <w:i/>
                <w:iCs/>
              </w:rPr>
              <w:t>gap is dramatically smaller and far more equitable than national</w:t>
            </w:r>
          </w:p>
          <w:p w14:paraId="0F64713E" w14:textId="77777777" w:rsidR="00594B68" w:rsidRPr="00594B68" w:rsidRDefault="00594B68" w:rsidP="00594B68">
            <w:pPr>
              <w:pStyle w:val="NoSpacing"/>
              <w:rPr>
                <w:rFonts w:ascii="Arial" w:hAnsi="Arial" w:cs="Arial"/>
                <w:b/>
                <w:bCs/>
              </w:rPr>
            </w:pPr>
            <w:r w:rsidRPr="00594B68">
              <w:rPr>
                <w:rFonts w:ascii="Arial" w:hAnsi="Arial" w:cs="Arial"/>
                <w:b/>
                <w:bCs/>
              </w:rPr>
              <w:t>Reading</w:t>
            </w:r>
          </w:p>
          <w:p w14:paraId="1B590A67" w14:textId="5E56AB16" w:rsidR="00594B68" w:rsidRPr="00594B68" w:rsidRDefault="00594B68" w:rsidP="00594B68">
            <w:pPr>
              <w:pStyle w:val="NoSpacing"/>
              <w:numPr>
                <w:ilvl w:val="0"/>
                <w:numId w:val="39"/>
              </w:numPr>
              <w:rPr>
                <w:rFonts w:ascii="Arial" w:hAnsi="Arial" w:cs="Arial"/>
                <w:i/>
              </w:rPr>
            </w:pPr>
            <w:r w:rsidRPr="00594B68">
              <w:rPr>
                <w:rFonts w:ascii="Arial" w:hAnsi="Arial" w:cs="Arial"/>
                <w:i/>
              </w:rPr>
              <w:t xml:space="preserve">Gap -11.8%, compared with -18% nationally.  This gap is </w:t>
            </w:r>
            <w:r w:rsidRPr="00594B68">
              <w:rPr>
                <w:rFonts w:ascii="Arial" w:hAnsi="Arial" w:cs="Arial"/>
                <w:i/>
                <w:iCs/>
              </w:rPr>
              <w:t>stronger than national; disadvantaged pupils perform well above national disadvantaged (63%)</w:t>
            </w:r>
          </w:p>
          <w:p w14:paraId="41F0D1B5" w14:textId="77777777" w:rsidR="00594B68" w:rsidRPr="00594B68" w:rsidRDefault="00594B68" w:rsidP="00594B68">
            <w:pPr>
              <w:pStyle w:val="NoSpacing"/>
              <w:rPr>
                <w:rFonts w:ascii="Arial" w:hAnsi="Arial" w:cs="Arial"/>
                <w:b/>
                <w:bCs/>
              </w:rPr>
            </w:pPr>
            <w:r w:rsidRPr="00594B68">
              <w:rPr>
                <w:rFonts w:ascii="Arial" w:hAnsi="Arial" w:cs="Arial"/>
                <w:b/>
                <w:bCs/>
              </w:rPr>
              <w:t>Writing</w:t>
            </w:r>
          </w:p>
          <w:p w14:paraId="4EA9E0BF" w14:textId="3DEE5FBB" w:rsidR="00594B68" w:rsidRPr="00594B68" w:rsidRDefault="00594B68" w:rsidP="00594B68">
            <w:pPr>
              <w:pStyle w:val="NoSpacing"/>
              <w:numPr>
                <w:ilvl w:val="0"/>
                <w:numId w:val="39"/>
              </w:numPr>
              <w:rPr>
                <w:rFonts w:ascii="Arial" w:hAnsi="Arial" w:cs="Arial"/>
              </w:rPr>
            </w:pPr>
            <w:r w:rsidRPr="00594B68">
              <w:rPr>
                <w:rFonts w:ascii="Arial" w:hAnsi="Arial" w:cs="Arial"/>
                <w:i/>
              </w:rPr>
              <w:t>Gap +6.8%</w:t>
            </w:r>
            <w:r w:rsidRPr="00594B68">
              <w:rPr>
                <w:rFonts w:ascii="Arial" w:hAnsi="Arial" w:cs="Arial"/>
              </w:rPr>
              <w:t xml:space="preserve">.  </w:t>
            </w:r>
            <w:r w:rsidRPr="00594B68">
              <w:rPr>
                <w:rFonts w:ascii="Arial" w:hAnsi="Arial" w:cs="Arial"/>
                <w:i/>
                <w:iCs/>
              </w:rPr>
              <w:t>Disadvantaged pupils outperform non-disadvantaged—this reverses the national trend (-19%)</w:t>
            </w:r>
          </w:p>
          <w:p w14:paraId="661FF0FA" w14:textId="77777777" w:rsidR="00594B68" w:rsidRPr="00594B68" w:rsidRDefault="00594B68" w:rsidP="00594B68">
            <w:pPr>
              <w:pStyle w:val="NoSpacing"/>
              <w:rPr>
                <w:rFonts w:ascii="Arial" w:hAnsi="Arial" w:cs="Arial"/>
                <w:b/>
                <w:bCs/>
              </w:rPr>
            </w:pPr>
            <w:r w:rsidRPr="00594B68">
              <w:rPr>
                <w:rFonts w:ascii="Arial" w:hAnsi="Arial" w:cs="Arial"/>
                <w:b/>
                <w:bCs/>
              </w:rPr>
              <w:t>Maths</w:t>
            </w:r>
          </w:p>
          <w:p w14:paraId="726C8EBE" w14:textId="7CDB629F" w:rsidR="00594B68" w:rsidRPr="00594B68" w:rsidRDefault="00594B68" w:rsidP="00594B68">
            <w:pPr>
              <w:pStyle w:val="NoSpacing"/>
              <w:numPr>
                <w:ilvl w:val="0"/>
                <w:numId w:val="39"/>
              </w:numPr>
              <w:rPr>
                <w:rFonts w:ascii="Arial" w:hAnsi="Arial" w:cs="Arial"/>
                <w:i/>
              </w:rPr>
            </w:pPr>
            <w:r w:rsidRPr="00594B68">
              <w:rPr>
                <w:rFonts w:ascii="Arial" w:hAnsi="Arial" w:cs="Arial"/>
                <w:i/>
              </w:rPr>
              <w:t>Gap +2.5%.  Another reversed gap—</w:t>
            </w:r>
            <w:r w:rsidRPr="00594B68">
              <w:rPr>
                <w:rFonts w:ascii="Arial" w:hAnsi="Arial" w:cs="Arial"/>
                <w:i/>
                <w:iCs/>
              </w:rPr>
              <w:t>disadvantaged outperform non-disadvantaged</w:t>
            </w:r>
          </w:p>
          <w:p w14:paraId="49AD0CC1" w14:textId="77777777" w:rsidR="00594B68" w:rsidRPr="00594B68" w:rsidRDefault="00594B68" w:rsidP="00594B68">
            <w:pPr>
              <w:pStyle w:val="NoSpacing"/>
              <w:rPr>
                <w:rFonts w:ascii="Arial" w:hAnsi="Arial" w:cs="Arial"/>
                <w:b/>
                <w:bCs/>
              </w:rPr>
            </w:pPr>
            <w:r w:rsidRPr="00594B68">
              <w:rPr>
                <w:rFonts w:ascii="Arial" w:hAnsi="Arial" w:cs="Arial"/>
                <w:b/>
                <w:bCs/>
              </w:rPr>
              <w:t>GPS</w:t>
            </w:r>
          </w:p>
          <w:p w14:paraId="0ECF1A2A" w14:textId="076357DD" w:rsidR="00594B68" w:rsidRPr="00594B68" w:rsidRDefault="00594B68" w:rsidP="00594B68">
            <w:pPr>
              <w:pStyle w:val="NoSpacing"/>
              <w:numPr>
                <w:ilvl w:val="0"/>
                <w:numId w:val="39"/>
              </w:numPr>
              <w:rPr>
                <w:rFonts w:ascii="Arial" w:hAnsi="Arial" w:cs="Arial"/>
                <w:i/>
              </w:rPr>
            </w:pPr>
            <w:r w:rsidRPr="00594B68">
              <w:rPr>
                <w:rFonts w:ascii="Arial" w:hAnsi="Arial" w:cs="Arial"/>
                <w:i/>
              </w:rPr>
              <w:t xml:space="preserve">Gap -3.1%, compared with -19.1% national. </w:t>
            </w:r>
            <w:r w:rsidRPr="00594B68">
              <w:rPr>
                <w:rFonts w:ascii="Arial" w:hAnsi="Arial" w:cs="Arial"/>
                <w:i/>
                <w:iCs/>
              </w:rPr>
              <w:t>A very small, positive gap relative to national</w:t>
            </w:r>
          </w:p>
          <w:p w14:paraId="2EF854D3" w14:textId="20745547" w:rsidR="00594B68" w:rsidRPr="00594B68" w:rsidRDefault="00594B68" w:rsidP="00594B68">
            <w:pPr>
              <w:shd w:val="clear" w:color="auto" w:fill="95B3D7" w:themeFill="accent1" w:themeFillTint="99"/>
              <w:rPr>
                <w:rFonts w:cs="Arial"/>
                <w:b/>
                <w:bCs/>
                <w:iCs/>
                <w:sz w:val="22"/>
                <w:szCs w:val="22"/>
              </w:rPr>
            </w:pPr>
            <w:r w:rsidRPr="00D75F84">
              <w:rPr>
                <w:rFonts w:cs="Arial"/>
                <w:b/>
                <w:bCs/>
                <w:iCs/>
                <w:sz w:val="22"/>
                <w:szCs w:val="22"/>
              </w:rPr>
              <w:lastRenderedPageBreak/>
              <w:t>Y4 Multiplication Tables Check 202</w:t>
            </w:r>
            <w:r>
              <w:rPr>
                <w:rFonts w:cs="Arial"/>
                <w:b/>
                <w:bCs/>
                <w:iCs/>
                <w:sz w:val="22"/>
                <w:szCs w:val="22"/>
              </w:rPr>
              <w:t>5</w:t>
            </w:r>
          </w:p>
          <w:tbl>
            <w:tblPr>
              <w:tblStyle w:val="TableGrid"/>
              <w:tblW w:w="0" w:type="auto"/>
              <w:tblLook w:val="04A0" w:firstRow="1" w:lastRow="0" w:firstColumn="1" w:lastColumn="0" w:noHBand="0" w:noVBand="1"/>
            </w:tblPr>
            <w:tblGrid>
              <w:gridCol w:w="2372"/>
              <w:gridCol w:w="496"/>
              <w:gridCol w:w="1073"/>
              <w:gridCol w:w="1074"/>
              <w:gridCol w:w="1049"/>
              <w:gridCol w:w="14"/>
              <w:gridCol w:w="1074"/>
              <w:gridCol w:w="1057"/>
              <w:gridCol w:w="1063"/>
            </w:tblGrid>
            <w:tr w:rsidR="00594B68" w:rsidRPr="003B5B6C" w14:paraId="0C0FC22A" w14:textId="77777777" w:rsidTr="00DB1FF6">
              <w:trPr>
                <w:trHeight w:val="249"/>
              </w:trPr>
              <w:tc>
                <w:tcPr>
                  <w:tcW w:w="2554" w:type="dxa"/>
                  <w:tcBorders>
                    <w:top w:val="nil"/>
                    <w:left w:val="nil"/>
                    <w:right w:val="nil"/>
                  </w:tcBorders>
                  <w:shd w:val="clear" w:color="auto" w:fill="auto"/>
                </w:tcPr>
                <w:p w14:paraId="07DAF048" w14:textId="77777777" w:rsidR="00594B68" w:rsidRPr="003B5B6C" w:rsidRDefault="00594B68" w:rsidP="00594B68">
                  <w:pPr>
                    <w:pStyle w:val="NoSpacing"/>
                  </w:pPr>
                </w:p>
              </w:tc>
              <w:tc>
                <w:tcPr>
                  <w:tcW w:w="502" w:type="dxa"/>
                  <w:tcBorders>
                    <w:top w:val="nil"/>
                    <w:left w:val="nil"/>
                  </w:tcBorders>
                  <w:shd w:val="clear" w:color="auto" w:fill="auto"/>
                </w:tcPr>
                <w:p w14:paraId="7540B486" w14:textId="77777777" w:rsidR="00594B68" w:rsidRPr="003B5B6C" w:rsidRDefault="00594B68" w:rsidP="00594B68">
                  <w:pPr>
                    <w:pStyle w:val="NoSpacing"/>
                  </w:pPr>
                </w:p>
              </w:tc>
              <w:tc>
                <w:tcPr>
                  <w:tcW w:w="3308" w:type="dxa"/>
                  <w:gridSpan w:val="3"/>
                  <w:shd w:val="clear" w:color="auto" w:fill="B8CCE4" w:themeFill="accent1" w:themeFillTint="66"/>
                </w:tcPr>
                <w:p w14:paraId="4E5A65A0" w14:textId="77777777" w:rsidR="00594B68" w:rsidRPr="00594B68" w:rsidRDefault="00594B68" w:rsidP="00594B68">
                  <w:pPr>
                    <w:pStyle w:val="NoSpacing"/>
                    <w:rPr>
                      <w:b/>
                      <w:bCs/>
                    </w:rPr>
                  </w:pPr>
                  <w:r w:rsidRPr="00594B68">
                    <w:rPr>
                      <w:b/>
                      <w:bCs/>
                    </w:rPr>
                    <w:t>School</w:t>
                  </w:r>
                </w:p>
              </w:tc>
              <w:tc>
                <w:tcPr>
                  <w:tcW w:w="3337" w:type="dxa"/>
                  <w:gridSpan w:val="4"/>
                  <w:shd w:val="clear" w:color="auto" w:fill="B8CCE4" w:themeFill="accent1" w:themeFillTint="66"/>
                </w:tcPr>
                <w:p w14:paraId="7CF98928" w14:textId="77777777" w:rsidR="00594B68" w:rsidRPr="00594B68" w:rsidRDefault="00594B68" w:rsidP="00594B68">
                  <w:pPr>
                    <w:pStyle w:val="NoSpacing"/>
                    <w:rPr>
                      <w:b/>
                      <w:bCs/>
                    </w:rPr>
                  </w:pPr>
                  <w:r w:rsidRPr="00594B68">
                    <w:rPr>
                      <w:b/>
                      <w:bCs/>
                    </w:rPr>
                    <w:t>National (2023-2024 data)</w:t>
                  </w:r>
                </w:p>
              </w:tc>
            </w:tr>
            <w:tr w:rsidR="00594B68" w:rsidRPr="003B5B6C" w14:paraId="1C5B6105" w14:textId="77777777" w:rsidTr="00DB1FF6">
              <w:trPr>
                <w:trHeight w:val="249"/>
              </w:trPr>
              <w:tc>
                <w:tcPr>
                  <w:tcW w:w="2554" w:type="dxa"/>
                  <w:shd w:val="clear" w:color="auto" w:fill="D9D9D9" w:themeFill="background1" w:themeFillShade="D9"/>
                </w:tcPr>
                <w:p w14:paraId="539877D5" w14:textId="77777777" w:rsidR="00594B68" w:rsidRPr="00D75F84" w:rsidRDefault="00594B68" w:rsidP="00594B68">
                  <w:pPr>
                    <w:pStyle w:val="NoSpacing"/>
                    <w:rPr>
                      <w:b/>
                    </w:rPr>
                  </w:pPr>
                  <w:r w:rsidRPr="00D75F84">
                    <w:rPr>
                      <w:b/>
                    </w:rPr>
                    <w:t>Y4 MTC</w:t>
                  </w:r>
                </w:p>
              </w:tc>
              <w:tc>
                <w:tcPr>
                  <w:tcW w:w="502" w:type="dxa"/>
                  <w:shd w:val="clear" w:color="auto" w:fill="D9D9D9" w:themeFill="background1" w:themeFillShade="D9"/>
                </w:tcPr>
                <w:p w14:paraId="1B3A1786" w14:textId="77777777" w:rsidR="00594B68" w:rsidRPr="001A0CBD" w:rsidRDefault="00594B68" w:rsidP="00594B68">
                  <w:pPr>
                    <w:pStyle w:val="NoSpacing"/>
                  </w:pPr>
                  <w:r w:rsidRPr="001A0CBD">
                    <w:t>N</w:t>
                  </w:r>
                </w:p>
              </w:tc>
              <w:tc>
                <w:tcPr>
                  <w:tcW w:w="1107" w:type="dxa"/>
                  <w:shd w:val="clear" w:color="auto" w:fill="D9D9D9" w:themeFill="background1" w:themeFillShade="D9"/>
                </w:tcPr>
                <w:p w14:paraId="1EA52DCC" w14:textId="77777777" w:rsidR="00594B68" w:rsidRPr="001A0CBD" w:rsidRDefault="00594B68" w:rsidP="00594B68">
                  <w:pPr>
                    <w:pStyle w:val="NoSpacing"/>
                  </w:pPr>
                  <w:r w:rsidRPr="001A0CBD">
                    <w:rPr>
                      <w:sz w:val="20"/>
                      <w:szCs w:val="20"/>
                    </w:rPr>
                    <w:t>21+</w:t>
                  </w:r>
                </w:p>
              </w:tc>
              <w:tc>
                <w:tcPr>
                  <w:tcW w:w="1108" w:type="dxa"/>
                  <w:shd w:val="clear" w:color="auto" w:fill="D9D9D9" w:themeFill="background1" w:themeFillShade="D9"/>
                  <w:vAlign w:val="center"/>
                </w:tcPr>
                <w:p w14:paraId="41DAB4D7" w14:textId="77777777" w:rsidR="00594B68" w:rsidRPr="001A0CBD" w:rsidRDefault="00594B68" w:rsidP="00594B68">
                  <w:pPr>
                    <w:pStyle w:val="NoSpacing"/>
                  </w:pPr>
                  <w:r w:rsidRPr="001A0CBD">
                    <w:rPr>
                      <w:sz w:val="20"/>
                      <w:szCs w:val="20"/>
                    </w:rPr>
                    <w:t>25</w:t>
                  </w:r>
                </w:p>
              </w:tc>
              <w:tc>
                <w:tcPr>
                  <w:tcW w:w="1107" w:type="dxa"/>
                  <w:gridSpan w:val="2"/>
                  <w:shd w:val="clear" w:color="auto" w:fill="D9D9D9" w:themeFill="background1" w:themeFillShade="D9"/>
                </w:tcPr>
                <w:p w14:paraId="7E586BC0" w14:textId="77777777" w:rsidR="00594B68" w:rsidRPr="001A0CBD" w:rsidRDefault="00594B68" w:rsidP="00594B68">
                  <w:pPr>
                    <w:pStyle w:val="NoSpacing"/>
                  </w:pPr>
                  <w:r w:rsidRPr="001A0CBD">
                    <w:rPr>
                      <w:sz w:val="20"/>
                      <w:szCs w:val="20"/>
                    </w:rPr>
                    <w:t>Av score</w:t>
                  </w:r>
                </w:p>
              </w:tc>
              <w:tc>
                <w:tcPr>
                  <w:tcW w:w="1108" w:type="dxa"/>
                  <w:shd w:val="clear" w:color="auto" w:fill="D9D9D9" w:themeFill="background1" w:themeFillShade="D9"/>
                </w:tcPr>
                <w:p w14:paraId="212AA82D" w14:textId="77777777" w:rsidR="00594B68" w:rsidRPr="00D75F84" w:rsidRDefault="00594B68" w:rsidP="00594B68">
                  <w:pPr>
                    <w:pStyle w:val="NoSpacing"/>
                  </w:pPr>
                  <w:r w:rsidRPr="00D75F84">
                    <w:rPr>
                      <w:sz w:val="20"/>
                      <w:szCs w:val="20"/>
                    </w:rPr>
                    <w:t>21+</w:t>
                  </w:r>
                </w:p>
              </w:tc>
              <w:tc>
                <w:tcPr>
                  <w:tcW w:w="1107" w:type="dxa"/>
                  <w:shd w:val="clear" w:color="auto" w:fill="D9D9D9" w:themeFill="background1" w:themeFillShade="D9"/>
                  <w:vAlign w:val="center"/>
                </w:tcPr>
                <w:p w14:paraId="7C8290E6" w14:textId="77777777" w:rsidR="00594B68" w:rsidRPr="00D75F84" w:rsidRDefault="00594B68" w:rsidP="00594B68">
                  <w:pPr>
                    <w:pStyle w:val="NoSpacing"/>
                  </w:pPr>
                  <w:r w:rsidRPr="00D75F84">
                    <w:rPr>
                      <w:sz w:val="20"/>
                      <w:szCs w:val="20"/>
                    </w:rPr>
                    <w:t>25</w:t>
                  </w:r>
                </w:p>
              </w:tc>
              <w:tc>
                <w:tcPr>
                  <w:tcW w:w="1108" w:type="dxa"/>
                  <w:shd w:val="clear" w:color="auto" w:fill="D9D9D9" w:themeFill="background1" w:themeFillShade="D9"/>
                </w:tcPr>
                <w:p w14:paraId="37FDBD7E" w14:textId="77777777" w:rsidR="00594B68" w:rsidRPr="00D75F84" w:rsidRDefault="00594B68" w:rsidP="00594B68">
                  <w:pPr>
                    <w:pStyle w:val="NoSpacing"/>
                  </w:pPr>
                  <w:r w:rsidRPr="00D75F84">
                    <w:rPr>
                      <w:sz w:val="20"/>
                      <w:szCs w:val="20"/>
                    </w:rPr>
                    <w:t>Av score</w:t>
                  </w:r>
                </w:p>
              </w:tc>
            </w:tr>
            <w:tr w:rsidR="00594B68" w:rsidRPr="003B5B6C" w14:paraId="49D916AC" w14:textId="77777777" w:rsidTr="00DB1FF6">
              <w:trPr>
                <w:trHeight w:val="242"/>
              </w:trPr>
              <w:tc>
                <w:tcPr>
                  <w:tcW w:w="2554" w:type="dxa"/>
                </w:tcPr>
                <w:p w14:paraId="78A5B2E9" w14:textId="77777777" w:rsidR="00594B68" w:rsidRPr="00DF57D2" w:rsidRDefault="00594B68" w:rsidP="00594B68">
                  <w:pPr>
                    <w:pStyle w:val="NoSpacing"/>
                  </w:pPr>
                  <w:r w:rsidRPr="00DF57D2">
                    <w:t>Disadvantaged</w:t>
                  </w:r>
                </w:p>
              </w:tc>
              <w:tc>
                <w:tcPr>
                  <w:tcW w:w="502" w:type="dxa"/>
                </w:tcPr>
                <w:p w14:paraId="07CD9A65" w14:textId="77777777" w:rsidR="00594B68" w:rsidRPr="00DF57D2" w:rsidRDefault="00594B68" w:rsidP="00594B68">
                  <w:pPr>
                    <w:pStyle w:val="NoSpacing"/>
                  </w:pPr>
                  <w:r w:rsidRPr="00DF57D2">
                    <w:t>15</w:t>
                  </w:r>
                </w:p>
              </w:tc>
              <w:tc>
                <w:tcPr>
                  <w:tcW w:w="1107" w:type="dxa"/>
                  <w:vAlign w:val="center"/>
                </w:tcPr>
                <w:p w14:paraId="75A8D101" w14:textId="77777777" w:rsidR="00594B68" w:rsidRPr="00DF57D2" w:rsidRDefault="00594B68" w:rsidP="00594B68">
                  <w:pPr>
                    <w:pStyle w:val="NoSpacing"/>
                  </w:pPr>
                  <w:r w:rsidRPr="00DF57D2">
                    <w:t>26.7%</w:t>
                  </w:r>
                </w:p>
              </w:tc>
              <w:tc>
                <w:tcPr>
                  <w:tcW w:w="1108" w:type="dxa"/>
                  <w:vAlign w:val="center"/>
                </w:tcPr>
                <w:p w14:paraId="68671C08" w14:textId="77777777" w:rsidR="00594B68" w:rsidRPr="00DF57D2" w:rsidRDefault="00594B68" w:rsidP="00594B68">
                  <w:pPr>
                    <w:pStyle w:val="NoSpacing"/>
                  </w:pPr>
                  <w:r w:rsidRPr="00DF57D2">
                    <w:t>6.7%</w:t>
                  </w:r>
                </w:p>
              </w:tc>
              <w:tc>
                <w:tcPr>
                  <w:tcW w:w="1107" w:type="dxa"/>
                  <w:gridSpan w:val="2"/>
                  <w:vAlign w:val="center"/>
                </w:tcPr>
                <w:p w14:paraId="56AB44BC" w14:textId="77777777" w:rsidR="00594B68" w:rsidRPr="00DF57D2" w:rsidRDefault="00594B68" w:rsidP="00594B68">
                  <w:pPr>
                    <w:pStyle w:val="NoSpacing"/>
                  </w:pPr>
                  <w:r w:rsidRPr="00DF57D2">
                    <w:t>17.7</w:t>
                  </w:r>
                </w:p>
              </w:tc>
              <w:tc>
                <w:tcPr>
                  <w:tcW w:w="1108" w:type="dxa"/>
                  <w:vAlign w:val="center"/>
                </w:tcPr>
                <w:p w14:paraId="0378B45F" w14:textId="77777777" w:rsidR="00594B68" w:rsidRPr="00DF57D2" w:rsidRDefault="00594B68" w:rsidP="00594B68">
                  <w:pPr>
                    <w:pStyle w:val="NoSpacing"/>
                  </w:pPr>
                  <w:r w:rsidRPr="00DF57D2">
                    <w:t>49.4%</w:t>
                  </w:r>
                </w:p>
              </w:tc>
              <w:tc>
                <w:tcPr>
                  <w:tcW w:w="1107" w:type="dxa"/>
                  <w:vAlign w:val="center"/>
                </w:tcPr>
                <w:p w14:paraId="48AC4C58" w14:textId="77777777" w:rsidR="00594B68" w:rsidRPr="00DF57D2" w:rsidRDefault="00594B68" w:rsidP="00594B68">
                  <w:pPr>
                    <w:pStyle w:val="NoSpacing"/>
                  </w:pPr>
                  <w:r w:rsidRPr="00DF57D2">
                    <w:t>25%</w:t>
                  </w:r>
                </w:p>
              </w:tc>
              <w:tc>
                <w:tcPr>
                  <w:tcW w:w="1108" w:type="dxa"/>
                  <w:vAlign w:val="center"/>
                </w:tcPr>
                <w:p w14:paraId="14F9AFC7" w14:textId="77777777" w:rsidR="00594B68" w:rsidRPr="00DF57D2" w:rsidRDefault="00594B68" w:rsidP="00594B68">
                  <w:pPr>
                    <w:pStyle w:val="NoSpacing"/>
                  </w:pPr>
                  <w:r w:rsidRPr="00DF57D2">
                    <w:t>18.9</w:t>
                  </w:r>
                </w:p>
              </w:tc>
            </w:tr>
            <w:tr w:rsidR="00594B68" w:rsidRPr="003B5B6C" w14:paraId="3F99A7F6" w14:textId="77777777" w:rsidTr="00DB1FF6">
              <w:trPr>
                <w:trHeight w:val="283"/>
              </w:trPr>
              <w:tc>
                <w:tcPr>
                  <w:tcW w:w="2554" w:type="dxa"/>
                </w:tcPr>
                <w:p w14:paraId="284792DC" w14:textId="77777777" w:rsidR="00594B68" w:rsidRPr="00DF57D2" w:rsidRDefault="00594B68" w:rsidP="00594B68">
                  <w:pPr>
                    <w:pStyle w:val="NoSpacing"/>
                  </w:pPr>
                  <w:r w:rsidRPr="00DF57D2">
                    <w:t>Non-disadvantaged</w:t>
                  </w:r>
                </w:p>
              </w:tc>
              <w:tc>
                <w:tcPr>
                  <w:tcW w:w="502" w:type="dxa"/>
                </w:tcPr>
                <w:p w14:paraId="5CD9DB9C" w14:textId="77777777" w:rsidR="00594B68" w:rsidRPr="00DF57D2" w:rsidRDefault="00594B68" w:rsidP="00594B68">
                  <w:pPr>
                    <w:pStyle w:val="NoSpacing"/>
                  </w:pPr>
                  <w:r w:rsidRPr="00DF57D2">
                    <w:t>13</w:t>
                  </w:r>
                </w:p>
              </w:tc>
              <w:tc>
                <w:tcPr>
                  <w:tcW w:w="1107" w:type="dxa"/>
                  <w:vAlign w:val="center"/>
                </w:tcPr>
                <w:p w14:paraId="2CCAD9C6" w14:textId="77777777" w:rsidR="00594B68" w:rsidRPr="00DF57D2" w:rsidRDefault="00594B68" w:rsidP="00594B68">
                  <w:pPr>
                    <w:pStyle w:val="NoSpacing"/>
                  </w:pPr>
                  <w:r w:rsidRPr="00DF57D2">
                    <w:t>69.2%</w:t>
                  </w:r>
                </w:p>
              </w:tc>
              <w:tc>
                <w:tcPr>
                  <w:tcW w:w="1108" w:type="dxa"/>
                  <w:vAlign w:val="center"/>
                </w:tcPr>
                <w:p w14:paraId="7D113C32" w14:textId="77777777" w:rsidR="00594B68" w:rsidRPr="00DF57D2" w:rsidRDefault="00594B68" w:rsidP="00594B68">
                  <w:pPr>
                    <w:pStyle w:val="NoSpacing"/>
                  </w:pPr>
                  <w:r w:rsidRPr="00DF57D2">
                    <w:t>46.2%</w:t>
                  </w:r>
                </w:p>
              </w:tc>
              <w:tc>
                <w:tcPr>
                  <w:tcW w:w="1107" w:type="dxa"/>
                  <w:gridSpan w:val="2"/>
                  <w:vAlign w:val="center"/>
                </w:tcPr>
                <w:p w14:paraId="193F3E02" w14:textId="77777777" w:rsidR="00594B68" w:rsidRPr="00DF57D2" w:rsidRDefault="00594B68" w:rsidP="00594B68">
                  <w:pPr>
                    <w:pStyle w:val="NoSpacing"/>
                  </w:pPr>
                  <w:r w:rsidRPr="00DF57D2">
                    <w:t>22.4</w:t>
                  </w:r>
                </w:p>
              </w:tc>
              <w:tc>
                <w:tcPr>
                  <w:tcW w:w="1108" w:type="dxa"/>
                  <w:vAlign w:val="center"/>
                </w:tcPr>
                <w:p w14:paraId="2A3A7F50" w14:textId="77777777" w:rsidR="00594B68" w:rsidRPr="00DF57D2" w:rsidRDefault="00594B68" w:rsidP="00594B68">
                  <w:pPr>
                    <w:pStyle w:val="NoSpacing"/>
                  </w:pPr>
                  <w:r w:rsidRPr="00DF57D2">
                    <w:t>68.6%</w:t>
                  </w:r>
                </w:p>
              </w:tc>
              <w:tc>
                <w:tcPr>
                  <w:tcW w:w="1107" w:type="dxa"/>
                  <w:vAlign w:val="center"/>
                </w:tcPr>
                <w:p w14:paraId="2132D676" w14:textId="77777777" w:rsidR="00594B68" w:rsidRPr="00DF57D2" w:rsidRDefault="00594B68" w:rsidP="00594B68">
                  <w:pPr>
                    <w:pStyle w:val="NoSpacing"/>
                  </w:pPr>
                  <w:r w:rsidRPr="00DF57D2">
                    <w:t>37%</w:t>
                  </w:r>
                </w:p>
              </w:tc>
              <w:tc>
                <w:tcPr>
                  <w:tcW w:w="1108" w:type="dxa"/>
                  <w:vAlign w:val="center"/>
                </w:tcPr>
                <w:p w14:paraId="365A41C3" w14:textId="77777777" w:rsidR="00594B68" w:rsidRPr="00DF57D2" w:rsidRDefault="00594B68" w:rsidP="00594B68">
                  <w:pPr>
                    <w:pStyle w:val="NoSpacing"/>
                  </w:pPr>
                  <w:r w:rsidRPr="00DF57D2">
                    <w:t>21.3</w:t>
                  </w:r>
                </w:p>
              </w:tc>
            </w:tr>
            <w:tr w:rsidR="00594B68" w:rsidRPr="003B5B6C" w14:paraId="1C0327AC" w14:textId="77777777" w:rsidTr="00DB1FF6">
              <w:trPr>
                <w:trHeight w:val="242"/>
              </w:trPr>
              <w:tc>
                <w:tcPr>
                  <w:tcW w:w="2554" w:type="dxa"/>
                </w:tcPr>
                <w:p w14:paraId="04CD6535" w14:textId="77777777" w:rsidR="00594B68" w:rsidRPr="00DF57D2" w:rsidRDefault="00594B68" w:rsidP="00594B68">
                  <w:pPr>
                    <w:pStyle w:val="NoSpacing"/>
                  </w:pPr>
                  <w:r w:rsidRPr="00DF57D2">
                    <w:t>Gap</w:t>
                  </w:r>
                </w:p>
              </w:tc>
              <w:tc>
                <w:tcPr>
                  <w:tcW w:w="502" w:type="dxa"/>
                </w:tcPr>
                <w:p w14:paraId="56B057C0" w14:textId="77777777" w:rsidR="00594B68" w:rsidRPr="00DF57D2" w:rsidRDefault="00594B68" w:rsidP="00594B68">
                  <w:pPr>
                    <w:pStyle w:val="NoSpacing"/>
                  </w:pPr>
                </w:p>
              </w:tc>
              <w:tc>
                <w:tcPr>
                  <w:tcW w:w="1107" w:type="dxa"/>
                  <w:vAlign w:val="center"/>
                </w:tcPr>
                <w:p w14:paraId="4623551D" w14:textId="77777777" w:rsidR="00594B68" w:rsidRPr="00DF57D2" w:rsidRDefault="00594B68" w:rsidP="00594B68">
                  <w:pPr>
                    <w:pStyle w:val="NoSpacing"/>
                  </w:pPr>
                  <w:r w:rsidRPr="00DF57D2">
                    <w:t>-42.5%</w:t>
                  </w:r>
                </w:p>
              </w:tc>
              <w:tc>
                <w:tcPr>
                  <w:tcW w:w="1108" w:type="dxa"/>
                  <w:vAlign w:val="center"/>
                </w:tcPr>
                <w:p w14:paraId="548516BF" w14:textId="77777777" w:rsidR="00594B68" w:rsidRPr="00DF57D2" w:rsidRDefault="00594B68" w:rsidP="00594B68">
                  <w:pPr>
                    <w:pStyle w:val="NoSpacing"/>
                  </w:pPr>
                  <w:r w:rsidRPr="00DF57D2">
                    <w:t>-39.5%</w:t>
                  </w:r>
                </w:p>
              </w:tc>
              <w:tc>
                <w:tcPr>
                  <w:tcW w:w="1107" w:type="dxa"/>
                  <w:gridSpan w:val="2"/>
                  <w:vAlign w:val="center"/>
                </w:tcPr>
                <w:p w14:paraId="10C675BB" w14:textId="77777777" w:rsidR="00594B68" w:rsidRPr="00DF57D2" w:rsidRDefault="00594B68" w:rsidP="00594B68">
                  <w:pPr>
                    <w:pStyle w:val="NoSpacing"/>
                  </w:pPr>
                  <w:r w:rsidRPr="00DF57D2">
                    <w:t>-4.7</w:t>
                  </w:r>
                </w:p>
              </w:tc>
              <w:tc>
                <w:tcPr>
                  <w:tcW w:w="1108" w:type="dxa"/>
                  <w:vAlign w:val="center"/>
                </w:tcPr>
                <w:p w14:paraId="289F4055" w14:textId="77777777" w:rsidR="00594B68" w:rsidRPr="00DF57D2" w:rsidRDefault="00594B68" w:rsidP="00594B68">
                  <w:pPr>
                    <w:pStyle w:val="NoSpacing"/>
                  </w:pPr>
                  <w:r w:rsidRPr="00DF57D2">
                    <w:t>-19.2%</w:t>
                  </w:r>
                </w:p>
              </w:tc>
              <w:tc>
                <w:tcPr>
                  <w:tcW w:w="1107" w:type="dxa"/>
                  <w:vAlign w:val="center"/>
                </w:tcPr>
                <w:p w14:paraId="0073B59B" w14:textId="77777777" w:rsidR="00594B68" w:rsidRPr="00DF57D2" w:rsidRDefault="00594B68" w:rsidP="00594B68">
                  <w:pPr>
                    <w:pStyle w:val="NoSpacing"/>
                  </w:pPr>
                  <w:r w:rsidRPr="00DF57D2">
                    <w:t>-12%</w:t>
                  </w:r>
                </w:p>
              </w:tc>
              <w:tc>
                <w:tcPr>
                  <w:tcW w:w="1108" w:type="dxa"/>
                  <w:vAlign w:val="center"/>
                </w:tcPr>
                <w:p w14:paraId="720A9BAD" w14:textId="77777777" w:rsidR="00594B68" w:rsidRPr="00DF57D2" w:rsidRDefault="00594B68" w:rsidP="00594B68">
                  <w:pPr>
                    <w:pStyle w:val="NoSpacing"/>
                  </w:pPr>
                  <w:r w:rsidRPr="00DF57D2">
                    <w:t>-2.4</w:t>
                  </w:r>
                </w:p>
              </w:tc>
            </w:tr>
          </w:tbl>
          <w:p w14:paraId="4015BF2F" w14:textId="77777777" w:rsidR="00594B68" w:rsidRPr="00F83340" w:rsidRDefault="00594B68" w:rsidP="00594B68">
            <w:pPr>
              <w:spacing w:before="100" w:beforeAutospacing="1" w:after="100" w:afterAutospacing="1"/>
              <w:outlineLvl w:val="2"/>
              <w:rPr>
                <w:rFonts w:cs="Arial"/>
                <w:b/>
                <w:bCs/>
                <w:sz w:val="22"/>
                <w:szCs w:val="22"/>
              </w:rPr>
            </w:pPr>
            <w:r w:rsidRPr="00F83340">
              <w:rPr>
                <w:rFonts w:cs="Arial"/>
                <w:b/>
                <w:bCs/>
                <w:sz w:val="22"/>
                <w:szCs w:val="22"/>
              </w:rPr>
              <w:t>Overall picture</w:t>
            </w:r>
          </w:p>
          <w:p w14:paraId="1D5455C7" w14:textId="77777777" w:rsidR="00594B68" w:rsidRPr="00F83340" w:rsidRDefault="00594B68" w:rsidP="00594B68">
            <w:pPr>
              <w:numPr>
                <w:ilvl w:val="0"/>
                <w:numId w:val="33"/>
              </w:numPr>
              <w:suppressAutoHyphens w:val="0"/>
              <w:autoSpaceDN/>
              <w:spacing w:before="100" w:beforeAutospacing="1" w:after="100" w:afterAutospacing="1" w:line="240" w:lineRule="auto"/>
              <w:rPr>
                <w:rFonts w:cs="Arial"/>
                <w:i/>
                <w:sz w:val="22"/>
                <w:szCs w:val="22"/>
              </w:rPr>
            </w:pPr>
            <w:r w:rsidRPr="00DF57D2">
              <w:rPr>
                <w:rFonts w:cs="Arial"/>
                <w:bCs/>
                <w:i/>
                <w:sz w:val="22"/>
                <w:szCs w:val="22"/>
              </w:rPr>
              <w:t>Non-disadvantaged pupils perform very strongly</w:t>
            </w:r>
            <w:r w:rsidRPr="00F83340">
              <w:rPr>
                <w:rFonts w:cs="Arial"/>
                <w:i/>
                <w:sz w:val="22"/>
                <w:szCs w:val="22"/>
              </w:rPr>
              <w:t>, exceeding national in all measures.</w:t>
            </w:r>
          </w:p>
          <w:p w14:paraId="476B75C1" w14:textId="77777777" w:rsidR="00594B68" w:rsidRPr="00F83340" w:rsidRDefault="00594B68" w:rsidP="00594B68">
            <w:pPr>
              <w:numPr>
                <w:ilvl w:val="0"/>
                <w:numId w:val="33"/>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Disadvantaged pupils underperform relative to national</w:t>
            </w:r>
            <w:r w:rsidRPr="00F83340">
              <w:rPr>
                <w:rFonts w:cs="Arial"/>
                <w:i/>
                <w:sz w:val="22"/>
                <w:szCs w:val="22"/>
              </w:rPr>
              <w:t xml:space="preserve">, creating a </w:t>
            </w:r>
            <w:r w:rsidRPr="008D7136">
              <w:rPr>
                <w:rFonts w:cs="Arial"/>
                <w:bCs/>
                <w:i/>
                <w:sz w:val="22"/>
                <w:szCs w:val="22"/>
              </w:rPr>
              <w:t>large in-school gap</w:t>
            </w:r>
            <w:r w:rsidRPr="00F83340">
              <w:rPr>
                <w:rFonts w:cs="Arial"/>
                <w:i/>
                <w:sz w:val="22"/>
                <w:szCs w:val="22"/>
              </w:rPr>
              <w:t>.</w:t>
            </w:r>
          </w:p>
          <w:p w14:paraId="00914B61" w14:textId="77777777" w:rsidR="00594B68" w:rsidRPr="00256F00" w:rsidRDefault="00594B68" w:rsidP="00594B68">
            <w:pPr>
              <w:pStyle w:val="ListParagraph"/>
              <w:numPr>
                <w:ilvl w:val="0"/>
                <w:numId w:val="33"/>
              </w:numPr>
              <w:suppressAutoHyphens w:val="0"/>
              <w:autoSpaceDN/>
              <w:spacing w:before="100" w:beforeAutospacing="1" w:after="100" w:afterAutospacing="1" w:line="240" w:lineRule="auto"/>
              <w:outlineLvl w:val="3"/>
              <w:rPr>
                <w:rFonts w:cs="Arial"/>
                <w:bCs/>
                <w:i/>
                <w:sz w:val="22"/>
                <w:szCs w:val="22"/>
              </w:rPr>
            </w:pPr>
            <w:r w:rsidRPr="008D7136">
              <w:rPr>
                <w:rFonts w:cs="Arial"/>
                <w:bCs/>
                <w:i/>
                <w:sz w:val="22"/>
                <w:szCs w:val="22"/>
              </w:rPr>
              <w:t>Disadvantaged v non-disadvantaged gap:</w:t>
            </w:r>
            <w:r>
              <w:rPr>
                <w:rFonts w:cs="Arial"/>
                <w:bCs/>
                <w:i/>
                <w:sz w:val="22"/>
                <w:szCs w:val="22"/>
              </w:rPr>
              <w:t xml:space="preserve"> </w:t>
            </w:r>
            <w:r w:rsidRPr="00256F00">
              <w:rPr>
                <w:rFonts w:cs="Arial"/>
                <w:i/>
                <w:sz w:val="22"/>
                <w:szCs w:val="22"/>
              </w:rPr>
              <w:t xml:space="preserve">21+: </w:t>
            </w:r>
            <w:r w:rsidRPr="00256F00">
              <w:rPr>
                <w:rFonts w:cs="Arial"/>
                <w:bCs/>
                <w:i/>
                <w:sz w:val="22"/>
                <w:szCs w:val="22"/>
              </w:rPr>
              <w:t>-42.5%</w:t>
            </w:r>
            <w:r w:rsidRPr="00256F00">
              <w:rPr>
                <w:rFonts w:cs="Arial"/>
                <w:i/>
                <w:sz w:val="22"/>
                <w:szCs w:val="22"/>
              </w:rPr>
              <w:t xml:space="preserve"> (vs national gap -19.2%)</w:t>
            </w:r>
            <w:r>
              <w:rPr>
                <w:rFonts w:cs="Arial"/>
                <w:i/>
                <w:sz w:val="22"/>
                <w:szCs w:val="22"/>
              </w:rPr>
              <w:t xml:space="preserve">.  </w:t>
            </w:r>
            <w:r w:rsidRPr="00256F00">
              <w:rPr>
                <w:rFonts w:cs="Arial"/>
                <w:i/>
                <w:sz w:val="22"/>
                <w:szCs w:val="22"/>
              </w:rPr>
              <w:t xml:space="preserve">25/25: </w:t>
            </w:r>
            <w:r w:rsidRPr="00256F00">
              <w:rPr>
                <w:rFonts w:cs="Arial"/>
                <w:bCs/>
                <w:i/>
                <w:sz w:val="22"/>
                <w:szCs w:val="22"/>
              </w:rPr>
              <w:t>-39.5%</w:t>
            </w:r>
            <w:r w:rsidRPr="00256F00">
              <w:rPr>
                <w:rFonts w:cs="Arial"/>
                <w:i/>
                <w:sz w:val="22"/>
                <w:szCs w:val="22"/>
              </w:rPr>
              <w:t xml:space="preserve"> (vs -12%)</w:t>
            </w:r>
            <w:r>
              <w:rPr>
                <w:rFonts w:cs="Arial"/>
                <w:i/>
                <w:sz w:val="22"/>
                <w:szCs w:val="22"/>
              </w:rPr>
              <w:t xml:space="preserve">.  </w:t>
            </w:r>
            <w:r w:rsidRPr="00256F00">
              <w:rPr>
                <w:rFonts w:cs="Arial"/>
                <w:i/>
                <w:sz w:val="22"/>
                <w:szCs w:val="22"/>
              </w:rPr>
              <w:t>Av</w:t>
            </w:r>
            <w:r>
              <w:rPr>
                <w:rFonts w:cs="Arial"/>
                <w:i/>
                <w:sz w:val="22"/>
                <w:szCs w:val="22"/>
              </w:rPr>
              <w:t>erage</w:t>
            </w:r>
            <w:r w:rsidRPr="00256F00">
              <w:rPr>
                <w:rFonts w:cs="Arial"/>
                <w:i/>
                <w:sz w:val="22"/>
                <w:szCs w:val="22"/>
              </w:rPr>
              <w:t xml:space="preserve"> score: </w:t>
            </w:r>
            <w:r w:rsidRPr="00256F00">
              <w:rPr>
                <w:rFonts w:cs="Arial"/>
                <w:bCs/>
                <w:i/>
                <w:sz w:val="22"/>
                <w:szCs w:val="22"/>
              </w:rPr>
              <w:t>-4.7</w:t>
            </w:r>
            <w:r w:rsidRPr="00256F00">
              <w:rPr>
                <w:rFonts w:cs="Arial"/>
                <w:i/>
                <w:sz w:val="22"/>
                <w:szCs w:val="22"/>
              </w:rPr>
              <w:t xml:space="preserve"> (vs -2.4)</w:t>
            </w:r>
          </w:p>
          <w:p w14:paraId="610568AE" w14:textId="77777777" w:rsidR="00594B68" w:rsidRPr="00F83340" w:rsidRDefault="00594B68" w:rsidP="00594B68">
            <w:pPr>
              <w:spacing w:before="100" w:beforeAutospacing="1" w:after="100" w:afterAutospacing="1"/>
              <w:outlineLvl w:val="2"/>
              <w:rPr>
                <w:rFonts w:cs="Arial"/>
                <w:b/>
                <w:bCs/>
                <w:sz w:val="22"/>
                <w:szCs w:val="22"/>
              </w:rPr>
            </w:pPr>
            <w:r w:rsidRPr="00F83340">
              <w:rPr>
                <w:rFonts w:cs="Arial"/>
                <w:b/>
                <w:bCs/>
                <w:sz w:val="22"/>
                <w:szCs w:val="22"/>
              </w:rPr>
              <w:t>Areas of concern</w:t>
            </w:r>
          </w:p>
          <w:p w14:paraId="278DCE01" w14:textId="77777777" w:rsidR="00594B68" w:rsidRPr="00F83340" w:rsidRDefault="00594B68" w:rsidP="00594B68">
            <w:pPr>
              <w:numPr>
                <w:ilvl w:val="0"/>
                <w:numId w:val="34"/>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Disadvantaged MTC outcomes are significantly below national</w:t>
            </w:r>
            <w:r w:rsidRPr="00F83340">
              <w:rPr>
                <w:rFonts w:cs="Arial"/>
                <w:i/>
                <w:sz w:val="22"/>
                <w:szCs w:val="22"/>
              </w:rPr>
              <w:t>.</w:t>
            </w:r>
          </w:p>
          <w:p w14:paraId="0624C5CC" w14:textId="77777777" w:rsidR="00594B68" w:rsidRPr="008D7136" w:rsidRDefault="00594B68" w:rsidP="00594B68">
            <w:pPr>
              <w:numPr>
                <w:ilvl w:val="0"/>
                <w:numId w:val="34"/>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In-school gap is more than double the national gap</w:t>
            </w:r>
            <w:r w:rsidRPr="00F83340">
              <w:rPr>
                <w:rFonts w:cs="Arial"/>
                <w:i/>
                <w:sz w:val="22"/>
                <w:szCs w:val="22"/>
              </w:rPr>
              <w:t>, indicating a targeted need in KS2 fluency for disadvantaged pupils.</w:t>
            </w:r>
          </w:p>
          <w:p w14:paraId="597489A5" w14:textId="29F84E73" w:rsidR="00594B68" w:rsidRPr="00594B68" w:rsidRDefault="00594B68" w:rsidP="00594B68">
            <w:pPr>
              <w:shd w:val="clear" w:color="auto" w:fill="95B3D7" w:themeFill="accent1" w:themeFillTint="99"/>
              <w:rPr>
                <w:rFonts w:cs="Arial"/>
                <w:b/>
                <w:bCs/>
                <w:iCs/>
                <w:sz w:val="22"/>
                <w:szCs w:val="22"/>
              </w:rPr>
            </w:pPr>
            <w:r w:rsidRPr="00D75F84">
              <w:rPr>
                <w:rFonts w:cs="Arial"/>
                <w:b/>
                <w:bCs/>
                <w:iCs/>
                <w:sz w:val="22"/>
                <w:szCs w:val="22"/>
              </w:rPr>
              <w:t>Y1 Phonics Screening Check 202</w:t>
            </w:r>
            <w:r>
              <w:rPr>
                <w:rFonts w:cs="Arial"/>
                <w:b/>
                <w:bCs/>
                <w:iCs/>
                <w:sz w:val="22"/>
                <w:szCs w:val="22"/>
              </w:rPr>
              <w:t>5</w:t>
            </w:r>
          </w:p>
          <w:tbl>
            <w:tblPr>
              <w:tblStyle w:val="TableGrid"/>
              <w:tblW w:w="0" w:type="auto"/>
              <w:tblLook w:val="04A0" w:firstRow="1" w:lastRow="0" w:firstColumn="1" w:lastColumn="0" w:noHBand="0" w:noVBand="1"/>
            </w:tblPr>
            <w:tblGrid>
              <w:gridCol w:w="2583"/>
              <w:gridCol w:w="440"/>
              <w:gridCol w:w="1265"/>
              <w:gridCol w:w="1203"/>
              <w:gridCol w:w="1202"/>
              <w:gridCol w:w="1758"/>
            </w:tblGrid>
            <w:tr w:rsidR="00594B68" w:rsidRPr="003B5B6C" w14:paraId="70A6DDA9" w14:textId="77777777" w:rsidTr="00DB1FF6">
              <w:tc>
                <w:tcPr>
                  <w:tcW w:w="2583" w:type="dxa"/>
                  <w:tcBorders>
                    <w:top w:val="nil"/>
                    <w:left w:val="nil"/>
                    <w:right w:val="nil"/>
                  </w:tcBorders>
                  <w:shd w:val="clear" w:color="auto" w:fill="auto"/>
                </w:tcPr>
                <w:p w14:paraId="66D16E35" w14:textId="77777777" w:rsidR="00594B68" w:rsidRPr="003B5B6C" w:rsidRDefault="00594B68" w:rsidP="00594B68">
                  <w:pPr>
                    <w:pStyle w:val="NoSpacing"/>
                  </w:pPr>
                </w:p>
              </w:tc>
              <w:tc>
                <w:tcPr>
                  <w:tcW w:w="426" w:type="dxa"/>
                  <w:tcBorders>
                    <w:top w:val="nil"/>
                    <w:left w:val="nil"/>
                  </w:tcBorders>
                  <w:shd w:val="clear" w:color="auto" w:fill="auto"/>
                </w:tcPr>
                <w:p w14:paraId="0B7DDD58" w14:textId="77777777" w:rsidR="00594B68" w:rsidRPr="003B5B6C" w:rsidRDefault="00594B68" w:rsidP="00594B68">
                  <w:pPr>
                    <w:pStyle w:val="NoSpacing"/>
                  </w:pPr>
                </w:p>
              </w:tc>
              <w:tc>
                <w:tcPr>
                  <w:tcW w:w="2468" w:type="dxa"/>
                  <w:gridSpan w:val="2"/>
                  <w:shd w:val="clear" w:color="auto" w:fill="B8CCE4" w:themeFill="accent1" w:themeFillTint="66"/>
                  <w:vAlign w:val="center"/>
                </w:tcPr>
                <w:p w14:paraId="76A136A2" w14:textId="77777777" w:rsidR="00594B68" w:rsidRPr="00F5091E" w:rsidRDefault="00594B68" w:rsidP="00594B68">
                  <w:pPr>
                    <w:pStyle w:val="NoSpacing"/>
                  </w:pPr>
                  <w:r w:rsidRPr="00F5091E">
                    <w:t>School</w:t>
                  </w:r>
                </w:p>
              </w:tc>
              <w:tc>
                <w:tcPr>
                  <w:tcW w:w="2960" w:type="dxa"/>
                  <w:gridSpan w:val="2"/>
                  <w:shd w:val="clear" w:color="auto" w:fill="B8CCE4" w:themeFill="accent1" w:themeFillTint="66"/>
                </w:tcPr>
                <w:p w14:paraId="21B9D180" w14:textId="77777777" w:rsidR="00594B68" w:rsidRPr="00F5091E" w:rsidRDefault="00594B68" w:rsidP="00594B68">
                  <w:pPr>
                    <w:pStyle w:val="NoSpacing"/>
                  </w:pPr>
                  <w:r w:rsidRPr="00F5091E">
                    <w:t>National</w:t>
                  </w:r>
                  <w:r>
                    <w:t xml:space="preserve"> (2024-2025 data)</w:t>
                  </w:r>
                </w:p>
              </w:tc>
            </w:tr>
            <w:tr w:rsidR="00594B68" w:rsidRPr="003B5B6C" w14:paraId="214B38A8" w14:textId="77777777" w:rsidTr="00DB1FF6">
              <w:tc>
                <w:tcPr>
                  <w:tcW w:w="2583" w:type="dxa"/>
                  <w:shd w:val="clear" w:color="auto" w:fill="D9D9D9" w:themeFill="background1" w:themeFillShade="D9"/>
                </w:tcPr>
                <w:p w14:paraId="4C928525" w14:textId="77777777" w:rsidR="00594B68" w:rsidRPr="002618FB" w:rsidRDefault="00594B68" w:rsidP="00594B68">
                  <w:pPr>
                    <w:pStyle w:val="NoSpacing"/>
                    <w:rPr>
                      <w:b/>
                    </w:rPr>
                  </w:pPr>
                  <w:r w:rsidRPr="002618FB">
                    <w:rPr>
                      <w:b/>
                    </w:rPr>
                    <w:t>Y1 Phonics Check</w:t>
                  </w:r>
                </w:p>
              </w:tc>
              <w:tc>
                <w:tcPr>
                  <w:tcW w:w="426" w:type="dxa"/>
                  <w:shd w:val="clear" w:color="auto" w:fill="D9D9D9" w:themeFill="background1" w:themeFillShade="D9"/>
                </w:tcPr>
                <w:p w14:paraId="2C0AB3E2" w14:textId="77777777" w:rsidR="00594B68" w:rsidRPr="002618FB" w:rsidRDefault="00594B68" w:rsidP="00594B68">
                  <w:pPr>
                    <w:pStyle w:val="NoSpacing"/>
                  </w:pPr>
                  <w:r w:rsidRPr="002618FB">
                    <w:t>N</w:t>
                  </w:r>
                </w:p>
              </w:tc>
              <w:tc>
                <w:tcPr>
                  <w:tcW w:w="1265" w:type="dxa"/>
                  <w:shd w:val="clear" w:color="auto" w:fill="D9D9D9" w:themeFill="background1" w:themeFillShade="D9"/>
                  <w:vAlign w:val="center"/>
                </w:tcPr>
                <w:p w14:paraId="31A3BDF8" w14:textId="77777777" w:rsidR="00594B68" w:rsidRPr="002618FB" w:rsidRDefault="00594B68" w:rsidP="00594B68">
                  <w:pPr>
                    <w:pStyle w:val="NoSpacing"/>
                  </w:pPr>
                  <w:r w:rsidRPr="002618FB">
                    <w:t>Pass</w:t>
                  </w:r>
                </w:p>
              </w:tc>
              <w:tc>
                <w:tcPr>
                  <w:tcW w:w="1203" w:type="dxa"/>
                  <w:shd w:val="clear" w:color="auto" w:fill="D9D9D9" w:themeFill="background1" w:themeFillShade="D9"/>
                </w:tcPr>
                <w:p w14:paraId="71BB96E7" w14:textId="77777777" w:rsidR="00594B68" w:rsidRPr="002618FB" w:rsidRDefault="00594B68" w:rsidP="00594B68">
                  <w:pPr>
                    <w:pStyle w:val="NoSpacing"/>
                  </w:pPr>
                  <w:r w:rsidRPr="002618FB">
                    <w:t>Av score</w:t>
                  </w:r>
                </w:p>
              </w:tc>
              <w:tc>
                <w:tcPr>
                  <w:tcW w:w="1202" w:type="dxa"/>
                  <w:shd w:val="clear" w:color="auto" w:fill="D9D9D9" w:themeFill="background1" w:themeFillShade="D9"/>
                  <w:vAlign w:val="center"/>
                </w:tcPr>
                <w:p w14:paraId="44990485" w14:textId="77777777" w:rsidR="00594B68" w:rsidRPr="002618FB" w:rsidRDefault="00594B68" w:rsidP="00594B68">
                  <w:pPr>
                    <w:pStyle w:val="NoSpacing"/>
                  </w:pPr>
                  <w:r w:rsidRPr="002618FB">
                    <w:t>Pass</w:t>
                  </w:r>
                </w:p>
              </w:tc>
              <w:tc>
                <w:tcPr>
                  <w:tcW w:w="1758" w:type="dxa"/>
                  <w:shd w:val="clear" w:color="auto" w:fill="D9D9D9" w:themeFill="background1" w:themeFillShade="D9"/>
                </w:tcPr>
                <w:p w14:paraId="3D4F2BAC" w14:textId="77777777" w:rsidR="00594B68" w:rsidRPr="002618FB" w:rsidRDefault="00594B68" w:rsidP="00594B68">
                  <w:pPr>
                    <w:pStyle w:val="NoSpacing"/>
                  </w:pPr>
                  <w:r w:rsidRPr="002618FB">
                    <w:t>Av score</w:t>
                  </w:r>
                </w:p>
              </w:tc>
            </w:tr>
            <w:tr w:rsidR="00594B68" w:rsidRPr="003B5B6C" w14:paraId="29B3DE0F" w14:textId="77777777" w:rsidTr="00DB1FF6">
              <w:tc>
                <w:tcPr>
                  <w:tcW w:w="2583" w:type="dxa"/>
                </w:tcPr>
                <w:p w14:paraId="5DC95055" w14:textId="77777777" w:rsidR="00594B68" w:rsidRPr="002618FB" w:rsidRDefault="00594B68" w:rsidP="00594B68">
                  <w:pPr>
                    <w:pStyle w:val="NoSpacing"/>
                  </w:pPr>
                  <w:r w:rsidRPr="002618FB">
                    <w:t>Disadvantaged</w:t>
                  </w:r>
                </w:p>
              </w:tc>
              <w:tc>
                <w:tcPr>
                  <w:tcW w:w="426" w:type="dxa"/>
                </w:tcPr>
                <w:p w14:paraId="0F1BBBC7" w14:textId="77777777" w:rsidR="00594B68" w:rsidRPr="002618FB" w:rsidRDefault="00594B68" w:rsidP="00594B68">
                  <w:pPr>
                    <w:pStyle w:val="NoSpacing"/>
                  </w:pPr>
                  <w:r w:rsidRPr="002618FB">
                    <w:t>15</w:t>
                  </w:r>
                </w:p>
              </w:tc>
              <w:tc>
                <w:tcPr>
                  <w:tcW w:w="1265" w:type="dxa"/>
                  <w:vAlign w:val="center"/>
                </w:tcPr>
                <w:p w14:paraId="35FF6E2D" w14:textId="77777777" w:rsidR="00594B68" w:rsidRPr="002618FB" w:rsidRDefault="00594B68" w:rsidP="00594B68">
                  <w:pPr>
                    <w:pStyle w:val="NoSpacing"/>
                  </w:pPr>
                  <w:r w:rsidRPr="002618FB">
                    <w:t>66.7%</w:t>
                  </w:r>
                </w:p>
              </w:tc>
              <w:tc>
                <w:tcPr>
                  <w:tcW w:w="1203" w:type="dxa"/>
                </w:tcPr>
                <w:p w14:paraId="2332869F" w14:textId="77777777" w:rsidR="00594B68" w:rsidRPr="002618FB" w:rsidRDefault="00594B68" w:rsidP="00594B68">
                  <w:pPr>
                    <w:pStyle w:val="NoSpacing"/>
                  </w:pPr>
                  <w:r w:rsidRPr="002618FB">
                    <w:t>23.9</w:t>
                  </w:r>
                </w:p>
              </w:tc>
              <w:tc>
                <w:tcPr>
                  <w:tcW w:w="1202" w:type="dxa"/>
                </w:tcPr>
                <w:p w14:paraId="6463462B" w14:textId="77777777" w:rsidR="00594B68" w:rsidRPr="002618FB" w:rsidRDefault="00594B68" w:rsidP="00594B68">
                  <w:pPr>
                    <w:pStyle w:val="NoSpacing"/>
                  </w:pPr>
                  <w:r w:rsidRPr="002618FB">
                    <w:t>67%</w:t>
                  </w:r>
                </w:p>
              </w:tc>
              <w:tc>
                <w:tcPr>
                  <w:tcW w:w="1758" w:type="dxa"/>
                </w:tcPr>
                <w:p w14:paraId="4F87D99B" w14:textId="77777777" w:rsidR="00594B68" w:rsidRPr="002618FB" w:rsidRDefault="00594B68" w:rsidP="00594B68">
                  <w:pPr>
                    <w:pStyle w:val="NoSpacing"/>
                  </w:pPr>
                  <w:r w:rsidRPr="002618FB">
                    <w:t>30.2</w:t>
                  </w:r>
                </w:p>
              </w:tc>
            </w:tr>
            <w:tr w:rsidR="00594B68" w:rsidRPr="003B5B6C" w14:paraId="1535FD47" w14:textId="77777777" w:rsidTr="00DB1FF6">
              <w:tc>
                <w:tcPr>
                  <w:tcW w:w="2583" w:type="dxa"/>
                </w:tcPr>
                <w:p w14:paraId="745ABB9D" w14:textId="77777777" w:rsidR="00594B68" w:rsidRPr="002618FB" w:rsidRDefault="00594B68" w:rsidP="00594B68">
                  <w:pPr>
                    <w:pStyle w:val="NoSpacing"/>
                  </w:pPr>
                  <w:r w:rsidRPr="002618FB">
                    <w:t>Non-disadvantaged</w:t>
                  </w:r>
                </w:p>
              </w:tc>
              <w:tc>
                <w:tcPr>
                  <w:tcW w:w="426" w:type="dxa"/>
                </w:tcPr>
                <w:p w14:paraId="57DC71E4" w14:textId="77777777" w:rsidR="00594B68" w:rsidRPr="002618FB" w:rsidRDefault="00594B68" w:rsidP="00594B68">
                  <w:pPr>
                    <w:pStyle w:val="NoSpacing"/>
                  </w:pPr>
                  <w:r w:rsidRPr="002618FB">
                    <w:t>15</w:t>
                  </w:r>
                </w:p>
              </w:tc>
              <w:tc>
                <w:tcPr>
                  <w:tcW w:w="1265" w:type="dxa"/>
                  <w:vAlign w:val="center"/>
                </w:tcPr>
                <w:p w14:paraId="3F0A1B69" w14:textId="77777777" w:rsidR="00594B68" w:rsidRPr="002618FB" w:rsidRDefault="00594B68" w:rsidP="00594B68">
                  <w:pPr>
                    <w:pStyle w:val="NoSpacing"/>
                  </w:pPr>
                  <w:r w:rsidRPr="002618FB">
                    <w:t>86.7%</w:t>
                  </w:r>
                </w:p>
              </w:tc>
              <w:tc>
                <w:tcPr>
                  <w:tcW w:w="1203" w:type="dxa"/>
                </w:tcPr>
                <w:p w14:paraId="01CA4DFC" w14:textId="77777777" w:rsidR="00594B68" w:rsidRPr="002618FB" w:rsidRDefault="00594B68" w:rsidP="00594B68">
                  <w:pPr>
                    <w:pStyle w:val="NoSpacing"/>
                  </w:pPr>
                  <w:r w:rsidRPr="002618FB">
                    <w:t>30.1</w:t>
                  </w:r>
                </w:p>
              </w:tc>
              <w:tc>
                <w:tcPr>
                  <w:tcW w:w="1202" w:type="dxa"/>
                </w:tcPr>
                <w:p w14:paraId="491E70EC" w14:textId="77777777" w:rsidR="00594B68" w:rsidRPr="002618FB" w:rsidRDefault="00594B68" w:rsidP="00594B68">
                  <w:pPr>
                    <w:pStyle w:val="NoSpacing"/>
                  </w:pPr>
                  <w:r w:rsidRPr="002618FB">
                    <w:t>84.0</w:t>
                  </w:r>
                </w:p>
              </w:tc>
              <w:tc>
                <w:tcPr>
                  <w:tcW w:w="1758" w:type="dxa"/>
                </w:tcPr>
                <w:p w14:paraId="2FDEE64E" w14:textId="77777777" w:rsidR="00594B68" w:rsidRPr="002618FB" w:rsidRDefault="00594B68" w:rsidP="00594B68">
                  <w:pPr>
                    <w:pStyle w:val="NoSpacing"/>
                  </w:pPr>
                  <w:r w:rsidRPr="002618FB">
                    <w:t>34.2</w:t>
                  </w:r>
                </w:p>
              </w:tc>
            </w:tr>
            <w:tr w:rsidR="00594B68" w:rsidRPr="003B5B6C" w14:paraId="515A8CB4" w14:textId="77777777" w:rsidTr="00DB1FF6">
              <w:tc>
                <w:tcPr>
                  <w:tcW w:w="2583" w:type="dxa"/>
                </w:tcPr>
                <w:p w14:paraId="53425672" w14:textId="77777777" w:rsidR="00594B68" w:rsidRPr="003B5B6C" w:rsidRDefault="00594B68" w:rsidP="00594B68">
                  <w:pPr>
                    <w:pStyle w:val="NoSpacing"/>
                  </w:pPr>
                  <w:r w:rsidRPr="002618FB">
                    <w:t>Gap</w:t>
                  </w:r>
                </w:p>
              </w:tc>
              <w:tc>
                <w:tcPr>
                  <w:tcW w:w="426" w:type="dxa"/>
                </w:tcPr>
                <w:p w14:paraId="32FB4275" w14:textId="77777777" w:rsidR="00594B68" w:rsidRPr="003B5B6C" w:rsidRDefault="00594B68" w:rsidP="00594B68">
                  <w:pPr>
                    <w:pStyle w:val="NoSpacing"/>
                  </w:pPr>
                </w:p>
              </w:tc>
              <w:tc>
                <w:tcPr>
                  <w:tcW w:w="1265" w:type="dxa"/>
                  <w:vAlign w:val="center"/>
                </w:tcPr>
                <w:p w14:paraId="6C3163AF" w14:textId="77777777" w:rsidR="00594B68" w:rsidRPr="002618FB" w:rsidRDefault="00594B68" w:rsidP="00594B68">
                  <w:pPr>
                    <w:pStyle w:val="NoSpacing"/>
                  </w:pPr>
                  <w:r w:rsidRPr="002618FB">
                    <w:t>20%</w:t>
                  </w:r>
                </w:p>
              </w:tc>
              <w:tc>
                <w:tcPr>
                  <w:tcW w:w="1203" w:type="dxa"/>
                </w:tcPr>
                <w:p w14:paraId="3DCA20F8" w14:textId="77777777" w:rsidR="00594B68" w:rsidRPr="002618FB" w:rsidRDefault="00594B68" w:rsidP="00594B68">
                  <w:pPr>
                    <w:pStyle w:val="NoSpacing"/>
                  </w:pPr>
                  <w:r w:rsidRPr="002618FB">
                    <w:t>-6.2</w:t>
                  </w:r>
                </w:p>
              </w:tc>
              <w:tc>
                <w:tcPr>
                  <w:tcW w:w="1202" w:type="dxa"/>
                </w:tcPr>
                <w:p w14:paraId="0E5F8F42" w14:textId="77777777" w:rsidR="00594B68" w:rsidRPr="002618FB" w:rsidRDefault="00594B68" w:rsidP="00594B68">
                  <w:pPr>
                    <w:pStyle w:val="NoSpacing"/>
                  </w:pPr>
                  <w:r w:rsidRPr="002618FB">
                    <w:t>-17%</w:t>
                  </w:r>
                </w:p>
              </w:tc>
              <w:tc>
                <w:tcPr>
                  <w:tcW w:w="1758" w:type="dxa"/>
                </w:tcPr>
                <w:p w14:paraId="03077D32" w14:textId="77777777" w:rsidR="00594B68" w:rsidRPr="002618FB" w:rsidRDefault="00594B68" w:rsidP="00594B68">
                  <w:pPr>
                    <w:pStyle w:val="NoSpacing"/>
                  </w:pPr>
                  <w:r w:rsidRPr="002618FB">
                    <w:t>-4.0</w:t>
                  </w:r>
                </w:p>
              </w:tc>
            </w:tr>
          </w:tbl>
          <w:p w14:paraId="19D4AF4F" w14:textId="77777777" w:rsidR="00594B68" w:rsidRPr="00F83340" w:rsidRDefault="00594B68" w:rsidP="00594B68">
            <w:pPr>
              <w:spacing w:before="100" w:beforeAutospacing="1" w:after="100" w:afterAutospacing="1"/>
              <w:outlineLvl w:val="2"/>
              <w:rPr>
                <w:rFonts w:cs="Arial"/>
                <w:b/>
                <w:bCs/>
                <w:sz w:val="22"/>
                <w:szCs w:val="22"/>
              </w:rPr>
            </w:pPr>
            <w:r w:rsidRPr="00F83340">
              <w:rPr>
                <w:rFonts w:cs="Arial"/>
                <w:b/>
                <w:bCs/>
                <w:sz w:val="22"/>
                <w:szCs w:val="22"/>
              </w:rPr>
              <w:t>Overall picture</w:t>
            </w:r>
          </w:p>
          <w:p w14:paraId="0F5632FB" w14:textId="77777777" w:rsidR="00594B68" w:rsidRPr="00F83340" w:rsidRDefault="00594B68" w:rsidP="00594B68">
            <w:pPr>
              <w:numPr>
                <w:ilvl w:val="0"/>
                <w:numId w:val="35"/>
              </w:numPr>
              <w:suppressAutoHyphens w:val="0"/>
              <w:autoSpaceDN/>
              <w:spacing w:before="100" w:beforeAutospacing="1" w:after="100" w:afterAutospacing="1" w:line="240" w:lineRule="auto"/>
              <w:rPr>
                <w:rFonts w:cs="Arial"/>
                <w:i/>
                <w:sz w:val="22"/>
                <w:szCs w:val="22"/>
              </w:rPr>
            </w:pPr>
            <w:r w:rsidRPr="00F83340">
              <w:rPr>
                <w:rFonts w:cs="Arial"/>
                <w:i/>
                <w:sz w:val="22"/>
                <w:szCs w:val="22"/>
              </w:rPr>
              <w:t>School disadvantaged and non-disadvantaged outcomes are broadly in line with national.</w:t>
            </w:r>
          </w:p>
          <w:p w14:paraId="78EE9362" w14:textId="77777777" w:rsidR="00594B68" w:rsidRDefault="00594B68" w:rsidP="00594B68">
            <w:pPr>
              <w:numPr>
                <w:ilvl w:val="0"/>
                <w:numId w:val="35"/>
              </w:numPr>
              <w:suppressAutoHyphens w:val="0"/>
              <w:autoSpaceDN/>
              <w:spacing w:before="100" w:beforeAutospacing="1" w:after="100" w:afterAutospacing="1" w:line="240" w:lineRule="auto"/>
              <w:rPr>
                <w:rFonts w:cs="Arial"/>
                <w:i/>
                <w:sz w:val="22"/>
                <w:szCs w:val="22"/>
              </w:rPr>
            </w:pPr>
            <w:r w:rsidRPr="00F83340">
              <w:rPr>
                <w:rFonts w:cs="Arial"/>
                <w:i/>
                <w:sz w:val="22"/>
                <w:szCs w:val="22"/>
              </w:rPr>
              <w:t xml:space="preserve">The </w:t>
            </w:r>
            <w:r w:rsidRPr="007D0BE2">
              <w:rPr>
                <w:rFonts w:cs="Arial"/>
                <w:bCs/>
                <w:i/>
                <w:sz w:val="22"/>
                <w:szCs w:val="22"/>
              </w:rPr>
              <w:t>gap in phonics pass rate is smaller than the national gap</w:t>
            </w:r>
            <w:r w:rsidRPr="00F83340">
              <w:rPr>
                <w:rFonts w:cs="Arial"/>
                <w:i/>
                <w:sz w:val="22"/>
                <w:szCs w:val="22"/>
              </w:rPr>
              <w:t>.</w:t>
            </w:r>
          </w:p>
          <w:p w14:paraId="73990C63" w14:textId="77777777" w:rsidR="00594B68" w:rsidRPr="00256F00" w:rsidRDefault="00594B68" w:rsidP="00594B68">
            <w:pPr>
              <w:numPr>
                <w:ilvl w:val="0"/>
                <w:numId w:val="35"/>
              </w:numPr>
              <w:suppressAutoHyphens w:val="0"/>
              <w:autoSpaceDN/>
              <w:spacing w:before="100" w:beforeAutospacing="1" w:after="100" w:afterAutospacing="1" w:line="240" w:lineRule="auto"/>
              <w:rPr>
                <w:rFonts w:cs="Arial"/>
                <w:i/>
                <w:sz w:val="22"/>
                <w:szCs w:val="22"/>
              </w:rPr>
            </w:pPr>
            <w:r>
              <w:rPr>
                <w:rFonts w:cs="Arial"/>
                <w:i/>
                <w:sz w:val="22"/>
                <w:szCs w:val="22"/>
              </w:rPr>
              <w:t>Disadvantaged v non-disadvantaged gap</w:t>
            </w:r>
            <w:r w:rsidRPr="00256F00">
              <w:rPr>
                <w:rFonts w:cs="Arial"/>
                <w:i/>
                <w:sz w:val="22"/>
                <w:szCs w:val="22"/>
              </w:rPr>
              <w:t xml:space="preserve">:  </w:t>
            </w:r>
            <w:r w:rsidRPr="00F83340">
              <w:rPr>
                <w:rFonts w:cs="Arial"/>
                <w:i/>
                <w:sz w:val="22"/>
                <w:szCs w:val="22"/>
              </w:rPr>
              <w:t xml:space="preserve">Pass: </w:t>
            </w:r>
            <w:r w:rsidRPr="00256F00">
              <w:rPr>
                <w:rFonts w:cs="Arial"/>
                <w:bCs/>
                <w:i/>
                <w:sz w:val="22"/>
                <w:szCs w:val="22"/>
              </w:rPr>
              <w:t>20%</w:t>
            </w:r>
            <w:r w:rsidRPr="00F83340">
              <w:rPr>
                <w:rFonts w:cs="Arial"/>
                <w:i/>
                <w:sz w:val="22"/>
                <w:szCs w:val="22"/>
              </w:rPr>
              <w:t xml:space="preserve"> (school) vs </w:t>
            </w:r>
            <w:r w:rsidRPr="00256F00">
              <w:rPr>
                <w:rFonts w:cs="Arial"/>
                <w:bCs/>
                <w:i/>
                <w:sz w:val="22"/>
                <w:szCs w:val="22"/>
              </w:rPr>
              <w:t>17%</w:t>
            </w:r>
            <w:r w:rsidRPr="00F83340">
              <w:rPr>
                <w:rFonts w:cs="Arial"/>
                <w:i/>
                <w:sz w:val="22"/>
                <w:szCs w:val="22"/>
              </w:rPr>
              <w:t xml:space="preserve"> national</w:t>
            </w:r>
            <w:r w:rsidRPr="00F83340">
              <w:rPr>
                <w:rFonts w:cs="Arial"/>
                <w:i/>
                <w:sz w:val="22"/>
                <w:szCs w:val="22"/>
              </w:rPr>
              <w:br/>
            </w:r>
            <w:r w:rsidRPr="00F83340">
              <w:rPr>
                <w:rFonts w:ascii="Segoe UI Symbol" w:hAnsi="Segoe UI Symbol" w:cs="Segoe UI Symbol"/>
                <w:i/>
                <w:sz w:val="22"/>
                <w:szCs w:val="22"/>
              </w:rPr>
              <w:t>➜</w:t>
            </w:r>
            <w:r w:rsidRPr="00F83340">
              <w:rPr>
                <w:rFonts w:cs="Arial"/>
                <w:i/>
                <w:sz w:val="22"/>
                <w:szCs w:val="22"/>
              </w:rPr>
              <w:t xml:space="preserve"> </w:t>
            </w:r>
            <w:r w:rsidRPr="00256F00">
              <w:rPr>
                <w:rFonts w:cs="Arial"/>
                <w:i/>
                <w:iCs/>
                <w:sz w:val="22"/>
                <w:szCs w:val="22"/>
              </w:rPr>
              <w:t>Slightly wider in school, but close.</w:t>
            </w:r>
          </w:p>
          <w:p w14:paraId="517D207C" w14:textId="77777777" w:rsidR="00594B68" w:rsidRPr="00F83340" w:rsidRDefault="00594B68" w:rsidP="00594B68">
            <w:pPr>
              <w:numPr>
                <w:ilvl w:val="0"/>
                <w:numId w:val="35"/>
              </w:numPr>
              <w:suppressAutoHyphens w:val="0"/>
              <w:autoSpaceDN/>
              <w:spacing w:before="100" w:beforeAutospacing="1" w:after="100" w:afterAutospacing="1" w:line="240" w:lineRule="auto"/>
              <w:rPr>
                <w:rFonts w:cs="Arial"/>
                <w:i/>
                <w:sz w:val="22"/>
                <w:szCs w:val="22"/>
              </w:rPr>
            </w:pPr>
            <w:r w:rsidRPr="00F83340">
              <w:rPr>
                <w:rFonts w:cs="Arial"/>
                <w:i/>
                <w:sz w:val="22"/>
                <w:szCs w:val="22"/>
              </w:rPr>
              <w:t xml:space="preserve">Average score gap: </w:t>
            </w:r>
            <w:r w:rsidRPr="00256F00">
              <w:rPr>
                <w:rFonts w:cs="Arial"/>
                <w:bCs/>
                <w:i/>
                <w:sz w:val="22"/>
                <w:szCs w:val="22"/>
              </w:rPr>
              <w:t>-6.2</w:t>
            </w:r>
            <w:r w:rsidRPr="00F83340">
              <w:rPr>
                <w:rFonts w:cs="Arial"/>
                <w:i/>
                <w:sz w:val="22"/>
                <w:szCs w:val="22"/>
              </w:rPr>
              <w:t xml:space="preserve"> (vs -4 national)</w:t>
            </w:r>
          </w:p>
          <w:p w14:paraId="5B58F14F" w14:textId="35E65A75" w:rsidR="00594B68" w:rsidRPr="00594B68" w:rsidRDefault="00594B68" w:rsidP="00594B68">
            <w:pPr>
              <w:shd w:val="clear" w:color="auto" w:fill="95B3D7" w:themeFill="accent1" w:themeFillTint="99"/>
              <w:rPr>
                <w:rFonts w:cs="Arial"/>
                <w:b/>
                <w:color w:val="FF0000"/>
                <w:sz w:val="22"/>
                <w:szCs w:val="22"/>
              </w:rPr>
            </w:pPr>
            <w:r w:rsidRPr="002618FB">
              <w:rPr>
                <w:rFonts w:cs="Arial"/>
                <w:b/>
                <w:sz w:val="22"/>
                <w:szCs w:val="22"/>
              </w:rPr>
              <w:t>EYFS:</w:t>
            </w:r>
          </w:p>
          <w:tbl>
            <w:tblPr>
              <w:tblStyle w:val="TableGrid"/>
              <w:tblW w:w="0" w:type="auto"/>
              <w:tblLook w:val="04A0" w:firstRow="1" w:lastRow="0" w:firstColumn="1" w:lastColumn="0" w:noHBand="0" w:noVBand="1"/>
            </w:tblPr>
            <w:tblGrid>
              <w:gridCol w:w="2377"/>
              <w:gridCol w:w="478"/>
              <w:gridCol w:w="3206"/>
              <w:gridCol w:w="3206"/>
            </w:tblGrid>
            <w:tr w:rsidR="00594B68" w:rsidRPr="003B5B6C" w14:paraId="6CD1E63C" w14:textId="77777777" w:rsidTr="00DB1FF6">
              <w:tc>
                <w:tcPr>
                  <w:tcW w:w="2578" w:type="dxa"/>
                  <w:shd w:val="clear" w:color="auto" w:fill="D9D9D9" w:themeFill="background1" w:themeFillShade="D9"/>
                </w:tcPr>
                <w:p w14:paraId="7E2E4879" w14:textId="77777777" w:rsidR="00594B68" w:rsidRPr="00C91B4F" w:rsidRDefault="00594B68" w:rsidP="00594B68">
                  <w:pPr>
                    <w:pStyle w:val="NoSpacing"/>
                  </w:pPr>
                  <w:r w:rsidRPr="00C91B4F">
                    <w:t>GLD</w:t>
                  </w:r>
                </w:p>
              </w:tc>
              <w:tc>
                <w:tcPr>
                  <w:tcW w:w="483" w:type="dxa"/>
                  <w:shd w:val="clear" w:color="auto" w:fill="D9D9D9" w:themeFill="background1" w:themeFillShade="D9"/>
                </w:tcPr>
                <w:p w14:paraId="509F55EC" w14:textId="77777777" w:rsidR="00594B68" w:rsidRPr="00C91B4F" w:rsidRDefault="00594B68" w:rsidP="00594B68">
                  <w:pPr>
                    <w:pStyle w:val="NoSpacing"/>
                  </w:pPr>
                  <w:r w:rsidRPr="00C91B4F">
                    <w:t>N</w:t>
                  </w:r>
                </w:p>
              </w:tc>
              <w:tc>
                <w:tcPr>
                  <w:tcW w:w="3499" w:type="dxa"/>
                  <w:shd w:val="clear" w:color="auto" w:fill="B8CCE4" w:themeFill="accent1" w:themeFillTint="66"/>
                  <w:vAlign w:val="center"/>
                </w:tcPr>
                <w:p w14:paraId="0BB02444" w14:textId="77777777" w:rsidR="00594B68" w:rsidRPr="00C91B4F" w:rsidRDefault="00594B68" w:rsidP="00594B68">
                  <w:pPr>
                    <w:pStyle w:val="NoSpacing"/>
                    <w:rPr>
                      <w:color w:val="FF0000"/>
                    </w:rPr>
                  </w:pPr>
                  <w:r w:rsidRPr="00C91B4F">
                    <w:t>School</w:t>
                  </w:r>
                </w:p>
              </w:tc>
              <w:tc>
                <w:tcPr>
                  <w:tcW w:w="3500" w:type="dxa"/>
                  <w:shd w:val="clear" w:color="auto" w:fill="B8CCE4" w:themeFill="accent1" w:themeFillTint="66"/>
                </w:tcPr>
                <w:p w14:paraId="7F6BFCE5" w14:textId="77777777" w:rsidR="00594B68" w:rsidRPr="00C91B4F" w:rsidRDefault="00594B68" w:rsidP="00594B68">
                  <w:pPr>
                    <w:pStyle w:val="NoSpacing"/>
                    <w:rPr>
                      <w:color w:val="FF0000"/>
                    </w:rPr>
                  </w:pPr>
                  <w:r w:rsidRPr="00C91B4F">
                    <w:t>National (2023-2024 data)</w:t>
                  </w:r>
                </w:p>
              </w:tc>
            </w:tr>
            <w:tr w:rsidR="00594B68" w:rsidRPr="003B5B6C" w14:paraId="42F2160A" w14:textId="77777777" w:rsidTr="00DB1FF6">
              <w:tc>
                <w:tcPr>
                  <w:tcW w:w="2578" w:type="dxa"/>
                </w:tcPr>
                <w:p w14:paraId="4B7A6E2D" w14:textId="77777777" w:rsidR="00594B68" w:rsidRPr="00C91B4F" w:rsidRDefault="00594B68" w:rsidP="00594B68">
                  <w:pPr>
                    <w:pStyle w:val="NoSpacing"/>
                  </w:pPr>
                  <w:r w:rsidRPr="00C91B4F">
                    <w:t>Disadvantaged</w:t>
                  </w:r>
                </w:p>
              </w:tc>
              <w:tc>
                <w:tcPr>
                  <w:tcW w:w="483" w:type="dxa"/>
                </w:tcPr>
                <w:p w14:paraId="32E1A138" w14:textId="77777777" w:rsidR="00594B68" w:rsidRPr="00C91B4F" w:rsidRDefault="00594B68" w:rsidP="00594B68">
                  <w:pPr>
                    <w:pStyle w:val="NoSpacing"/>
                  </w:pPr>
                  <w:r w:rsidRPr="00C91B4F">
                    <w:t>13</w:t>
                  </w:r>
                </w:p>
              </w:tc>
              <w:tc>
                <w:tcPr>
                  <w:tcW w:w="3499" w:type="dxa"/>
                  <w:vAlign w:val="center"/>
                </w:tcPr>
                <w:p w14:paraId="14F2B843" w14:textId="77777777" w:rsidR="00594B68" w:rsidRPr="00C91B4F" w:rsidRDefault="00594B68" w:rsidP="00594B68">
                  <w:pPr>
                    <w:pStyle w:val="NoSpacing"/>
                    <w:rPr>
                      <w:color w:val="FF0000"/>
                    </w:rPr>
                  </w:pPr>
                  <w:r w:rsidRPr="00C91B4F">
                    <w:t>69.2%</w:t>
                  </w:r>
                </w:p>
              </w:tc>
              <w:tc>
                <w:tcPr>
                  <w:tcW w:w="3500" w:type="dxa"/>
                </w:tcPr>
                <w:p w14:paraId="3E93B0CA" w14:textId="77777777" w:rsidR="00594B68" w:rsidRPr="00C91B4F" w:rsidRDefault="00594B68" w:rsidP="00594B68">
                  <w:pPr>
                    <w:pStyle w:val="NoSpacing"/>
                  </w:pPr>
                  <w:r w:rsidRPr="00C91B4F">
                    <w:t>57.1%</w:t>
                  </w:r>
                </w:p>
              </w:tc>
            </w:tr>
            <w:tr w:rsidR="00594B68" w:rsidRPr="003B5B6C" w14:paraId="28B9B143" w14:textId="77777777" w:rsidTr="00DB1FF6">
              <w:tc>
                <w:tcPr>
                  <w:tcW w:w="2578" w:type="dxa"/>
                </w:tcPr>
                <w:p w14:paraId="5C44639C" w14:textId="77777777" w:rsidR="00594B68" w:rsidRPr="00C91B4F" w:rsidRDefault="00594B68" w:rsidP="00594B68">
                  <w:pPr>
                    <w:pStyle w:val="NoSpacing"/>
                  </w:pPr>
                  <w:r w:rsidRPr="00C91B4F">
                    <w:t>Non-disadvantaged</w:t>
                  </w:r>
                </w:p>
              </w:tc>
              <w:tc>
                <w:tcPr>
                  <w:tcW w:w="483" w:type="dxa"/>
                </w:tcPr>
                <w:p w14:paraId="46AE39AE" w14:textId="77777777" w:rsidR="00594B68" w:rsidRPr="00C91B4F" w:rsidRDefault="00594B68" w:rsidP="00594B68">
                  <w:pPr>
                    <w:pStyle w:val="NoSpacing"/>
                  </w:pPr>
                  <w:r w:rsidRPr="00C91B4F">
                    <w:t>12</w:t>
                  </w:r>
                </w:p>
              </w:tc>
              <w:tc>
                <w:tcPr>
                  <w:tcW w:w="3499" w:type="dxa"/>
                  <w:vAlign w:val="center"/>
                </w:tcPr>
                <w:p w14:paraId="24E7922B" w14:textId="77777777" w:rsidR="00594B68" w:rsidRPr="00C91B4F" w:rsidRDefault="00594B68" w:rsidP="00594B68">
                  <w:pPr>
                    <w:pStyle w:val="NoSpacing"/>
                    <w:rPr>
                      <w:color w:val="FF0000"/>
                    </w:rPr>
                  </w:pPr>
                  <w:r w:rsidRPr="00C91B4F">
                    <w:t>83.3%</w:t>
                  </w:r>
                </w:p>
              </w:tc>
              <w:tc>
                <w:tcPr>
                  <w:tcW w:w="3500" w:type="dxa"/>
                </w:tcPr>
                <w:p w14:paraId="62DF39CF" w14:textId="77777777" w:rsidR="00594B68" w:rsidRPr="00C91B4F" w:rsidRDefault="00594B68" w:rsidP="00594B68">
                  <w:pPr>
                    <w:pStyle w:val="NoSpacing"/>
                  </w:pPr>
                  <w:r w:rsidRPr="00C91B4F">
                    <w:t>71.1%</w:t>
                  </w:r>
                </w:p>
              </w:tc>
            </w:tr>
            <w:tr w:rsidR="00594B68" w:rsidRPr="003B5B6C" w14:paraId="3CC09189" w14:textId="77777777" w:rsidTr="00DB1FF6">
              <w:tc>
                <w:tcPr>
                  <w:tcW w:w="2578" w:type="dxa"/>
                </w:tcPr>
                <w:p w14:paraId="76D222DD" w14:textId="77777777" w:rsidR="00594B68" w:rsidRPr="00C91B4F" w:rsidRDefault="00594B68" w:rsidP="00594B68">
                  <w:pPr>
                    <w:pStyle w:val="NoSpacing"/>
                    <w:rPr>
                      <w:color w:val="FF0000"/>
                    </w:rPr>
                  </w:pPr>
                  <w:r w:rsidRPr="00C91B4F">
                    <w:t>Gap</w:t>
                  </w:r>
                </w:p>
              </w:tc>
              <w:tc>
                <w:tcPr>
                  <w:tcW w:w="483" w:type="dxa"/>
                </w:tcPr>
                <w:p w14:paraId="76907C15" w14:textId="77777777" w:rsidR="00594B68" w:rsidRPr="00C91B4F" w:rsidRDefault="00594B68" w:rsidP="00594B68">
                  <w:pPr>
                    <w:pStyle w:val="NoSpacing"/>
                    <w:rPr>
                      <w:color w:val="FF0000"/>
                    </w:rPr>
                  </w:pPr>
                </w:p>
              </w:tc>
              <w:tc>
                <w:tcPr>
                  <w:tcW w:w="3499" w:type="dxa"/>
                  <w:vAlign w:val="center"/>
                </w:tcPr>
                <w:p w14:paraId="1FF51EF4" w14:textId="77777777" w:rsidR="00594B68" w:rsidRPr="00C91B4F" w:rsidRDefault="00594B68" w:rsidP="00594B68">
                  <w:pPr>
                    <w:pStyle w:val="NoSpacing"/>
                    <w:rPr>
                      <w:color w:val="FF0000"/>
                    </w:rPr>
                  </w:pPr>
                  <w:r w:rsidRPr="00C91B4F">
                    <w:t>-14.1%</w:t>
                  </w:r>
                </w:p>
              </w:tc>
              <w:tc>
                <w:tcPr>
                  <w:tcW w:w="3500" w:type="dxa"/>
                </w:tcPr>
                <w:p w14:paraId="19B12AB8" w14:textId="77777777" w:rsidR="00594B68" w:rsidRPr="00C91B4F" w:rsidRDefault="00594B68" w:rsidP="00594B68">
                  <w:pPr>
                    <w:pStyle w:val="NoSpacing"/>
                  </w:pPr>
                  <w:r w:rsidRPr="00C91B4F">
                    <w:t>-14%</w:t>
                  </w:r>
                </w:p>
              </w:tc>
            </w:tr>
          </w:tbl>
          <w:p w14:paraId="429C138E" w14:textId="77777777" w:rsidR="00594B68" w:rsidRPr="00F83340" w:rsidRDefault="00594B68" w:rsidP="00594B68">
            <w:pPr>
              <w:spacing w:before="100" w:beforeAutospacing="1" w:after="100" w:afterAutospacing="1"/>
              <w:outlineLvl w:val="2"/>
              <w:rPr>
                <w:rFonts w:cs="Arial"/>
                <w:b/>
                <w:bCs/>
                <w:sz w:val="22"/>
                <w:szCs w:val="22"/>
              </w:rPr>
            </w:pPr>
            <w:r w:rsidRPr="00F83340">
              <w:rPr>
                <w:rFonts w:cs="Arial"/>
                <w:b/>
                <w:bCs/>
                <w:sz w:val="22"/>
                <w:szCs w:val="22"/>
              </w:rPr>
              <w:t>Overall picture</w:t>
            </w:r>
          </w:p>
          <w:p w14:paraId="78A6FFCE" w14:textId="77777777" w:rsidR="00594B68" w:rsidRPr="00F83340" w:rsidRDefault="00594B68" w:rsidP="00594B68">
            <w:pPr>
              <w:numPr>
                <w:ilvl w:val="0"/>
                <w:numId w:val="36"/>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Both groups perform above national.</w:t>
            </w:r>
          </w:p>
          <w:p w14:paraId="39B07E25" w14:textId="77777777" w:rsidR="00594B68" w:rsidRPr="00F83340" w:rsidRDefault="00594B68" w:rsidP="00594B68">
            <w:pPr>
              <w:numPr>
                <w:ilvl w:val="0"/>
                <w:numId w:val="36"/>
              </w:numPr>
              <w:suppressAutoHyphens w:val="0"/>
              <w:autoSpaceDN/>
              <w:spacing w:before="100" w:beforeAutospacing="1" w:after="100" w:afterAutospacing="1" w:line="240" w:lineRule="auto"/>
              <w:rPr>
                <w:rFonts w:cs="Arial"/>
                <w:i/>
                <w:sz w:val="22"/>
                <w:szCs w:val="22"/>
              </w:rPr>
            </w:pPr>
            <w:r w:rsidRPr="008D7136">
              <w:rPr>
                <w:rFonts w:cs="Arial"/>
                <w:bCs/>
                <w:i/>
                <w:sz w:val="22"/>
                <w:szCs w:val="22"/>
              </w:rPr>
              <w:t>The disadvantaged group is substantially above national disadvantaged</w:t>
            </w:r>
            <w:r w:rsidRPr="00F83340">
              <w:rPr>
                <w:rFonts w:cs="Arial"/>
                <w:i/>
                <w:sz w:val="22"/>
                <w:szCs w:val="22"/>
              </w:rPr>
              <w:t xml:space="preserve"> (69.2% vs 57.1%).</w:t>
            </w:r>
          </w:p>
          <w:p w14:paraId="42E4121B" w14:textId="77777777" w:rsidR="00594B68" w:rsidRDefault="00594B68" w:rsidP="00594B68">
            <w:pPr>
              <w:numPr>
                <w:ilvl w:val="0"/>
                <w:numId w:val="36"/>
              </w:numPr>
              <w:suppressAutoHyphens w:val="0"/>
              <w:autoSpaceDN/>
              <w:spacing w:before="100" w:beforeAutospacing="1" w:after="100" w:afterAutospacing="1" w:line="240" w:lineRule="auto"/>
              <w:rPr>
                <w:rFonts w:cs="Arial"/>
                <w:i/>
                <w:sz w:val="22"/>
                <w:szCs w:val="22"/>
              </w:rPr>
            </w:pPr>
            <w:r w:rsidRPr="00F83340">
              <w:rPr>
                <w:rFonts w:cs="Arial"/>
                <w:i/>
                <w:sz w:val="22"/>
                <w:szCs w:val="22"/>
              </w:rPr>
              <w:t>Gaps</w:t>
            </w:r>
            <w:r>
              <w:rPr>
                <w:rFonts w:cs="Arial"/>
                <w:i/>
                <w:sz w:val="22"/>
                <w:szCs w:val="22"/>
              </w:rPr>
              <w:t xml:space="preserve"> (-14.1%)</w:t>
            </w:r>
            <w:r w:rsidRPr="00F83340">
              <w:rPr>
                <w:rFonts w:cs="Arial"/>
                <w:i/>
                <w:sz w:val="22"/>
                <w:szCs w:val="22"/>
              </w:rPr>
              <w:t xml:space="preserve"> mirror national, which indicates typical early gaps but good overall attainment.</w:t>
            </w:r>
          </w:p>
          <w:p w14:paraId="42976648" w14:textId="77777777" w:rsidR="00594B68" w:rsidRPr="00F83340" w:rsidRDefault="00594B68" w:rsidP="00594B68">
            <w:pPr>
              <w:spacing w:before="100" w:beforeAutospacing="1" w:after="100" w:afterAutospacing="1"/>
              <w:outlineLvl w:val="2"/>
              <w:rPr>
                <w:rFonts w:cs="Arial"/>
                <w:b/>
                <w:bCs/>
                <w:sz w:val="22"/>
                <w:szCs w:val="22"/>
              </w:rPr>
            </w:pPr>
            <w:r w:rsidRPr="00F83340">
              <w:rPr>
                <w:rFonts w:cs="Arial"/>
                <w:b/>
                <w:bCs/>
                <w:sz w:val="22"/>
                <w:szCs w:val="22"/>
              </w:rPr>
              <w:lastRenderedPageBreak/>
              <w:t>Strengths</w:t>
            </w:r>
          </w:p>
          <w:p w14:paraId="453BB524" w14:textId="77777777" w:rsidR="00594B68" w:rsidRPr="00F83340" w:rsidRDefault="00594B68" w:rsidP="00594B68">
            <w:pPr>
              <w:numPr>
                <w:ilvl w:val="0"/>
                <w:numId w:val="37"/>
              </w:numPr>
              <w:suppressAutoHyphens w:val="0"/>
              <w:autoSpaceDN/>
              <w:spacing w:before="100" w:beforeAutospacing="1" w:after="100" w:afterAutospacing="1" w:line="240" w:lineRule="auto"/>
              <w:rPr>
                <w:rFonts w:cs="Arial"/>
                <w:i/>
                <w:sz w:val="22"/>
                <w:szCs w:val="22"/>
              </w:rPr>
            </w:pPr>
            <w:r w:rsidRPr="00F83340">
              <w:rPr>
                <w:rFonts w:cs="Arial"/>
                <w:i/>
                <w:sz w:val="22"/>
                <w:szCs w:val="22"/>
              </w:rPr>
              <w:t>Early attainment is strong and well above national for both groups.</w:t>
            </w:r>
          </w:p>
          <w:p w14:paraId="2A7D5546" w14:textId="60034390" w:rsidR="0099644C" w:rsidRPr="00594B68" w:rsidRDefault="00594B68" w:rsidP="00594B68">
            <w:pPr>
              <w:numPr>
                <w:ilvl w:val="0"/>
                <w:numId w:val="37"/>
              </w:numPr>
              <w:suppressAutoHyphens w:val="0"/>
              <w:autoSpaceDN/>
              <w:spacing w:before="100" w:beforeAutospacing="1" w:after="100" w:afterAutospacing="1" w:line="240" w:lineRule="auto"/>
              <w:rPr>
                <w:rFonts w:cs="Arial"/>
                <w:i/>
                <w:sz w:val="22"/>
                <w:szCs w:val="22"/>
              </w:rPr>
            </w:pPr>
            <w:r w:rsidRPr="00F83340">
              <w:rPr>
                <w:rFonts w:cs="Arial"/>
                <w:i/>
                <w:sz w:val="22"/>
                <w:szCs w:val="22"/>
              </w:rPr>
              <w:t>Disadvantaged start school performing significantly above national peers.</w:t>
            </w:r>
          </w:p>
        </w:tc>
      </w:tr>
    </w:tbl>
    <w:p w14:paraId="2A7D5548" w14:textId="77777777" w:rsidR="00E66558" w:rsidRDefault="009D71E8">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34E75B3" w:rsidR="00E66558" w:rsidRDefault="0068191B">
            <w:pPr>
              <w:pStyle w:val="TableRow"/>
            </w:pPr>
            <w:proofErr w:type="spellStart"/>
            <w:r>
              <w:t>PiXL</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CC30418" w:rsidR="00E66558" w:rsidRDefault="0068191B">
            <w:pPr>
              <w:pStyle w:val="TableRowCentered"/>
              <w:jc w:val="left"/>
            </w:pPr>
            <w:r>
              <w:t xml:space="preserve">The </w:t>
            </w:r>
            <w:proofErr w:type="spellStart"/>
            <w:r>
              <w:t>PiXL</w:t>
            </w:r>
            <w:proofErr w:type="spellEnd"/>
            <w:r>
              <w:t xml:space="preserve"> Club</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F184821" w:rsidR="00E66558" w:rsidRDefault="0068191B">
            <w:pPr>
              <w:pStyle w:val="TableRow"/>
            </w:pPr>
            <w:r>
              <w:t>Launchpad for Literacy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EF6EFC5" w:rsidR="00E66558" w:rsidRDefault="0068191B">
            <w:pPr>
              <w:pStyle w:val="TableRowCentered"/>
              <w:jc w:val="left"/>
            </w:pPr>
            <w:r>
              <w:t>Kirstie Page</w:t>
            </w:r>
          </w:p>
        </w:tc>
      </w:tr>
      <w:tr w:rsidR="0068191B" w14:paraId="2FC8ABE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F0EE" w14:textId="78F76A3F" w:rsidR="0068191B" w:rsidRDefault="0068191B">
            <w:pPr>
              <w:pStyle w:val="TableRow"/>
            </w:pPr>
            <w:proofErr w:type="spellStart"/>
            <w:r>
              <w:t>Wellcomm</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AAD" w14:textId="18276B2A" w:rsidR="0068191B" w:rsidRDefault="0068191B">
            <w:pPr>
              <w:pStyle w:val="TableRowCentered"/>
              <w:jc w:val="left"/>
            </w:pPr>
            <w:r>
              <w:t>GL Assessment</w:t>
            </w:r>
          </w:p>
        </w:tc>
      </w:tr>
      <w:tr w:rsidR="002E18F0" w14:paraId="3BC9340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DE12" w14:textId="150F278D" w:rsidR="002E18F0" w:rsidRDefault="002E18F0">
            <w:pPr>
              <w:pStyle w:val="TableRow"/>
            </w:pPr>
            <w:r>
              <w:t>Reciprocal Reading trial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299C" w14:textId="0923010B" w:rsidR="002E18F0" w:rsidRDefault="002E18F0">
            <w:pPr>
              <w:pStyle w:val="TableRowCentered"/>
              <w:jc w:val="left"/>
            </w:pPr>
            <w:r>
              <w:t>Fisher Family Trust</w:t>
            </w:r>
          </w:p>
        </w:tc>
      </w:tr>
      <w:tr w:rsidR="002C3EA7" w14:paraId="7C350E2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9710" w14:textId="23DDDFF0" w:rsidR="002C3EA7" w:rsidRDefault="002C3EA7">
            <w:pPr>
              <w:pStyle w:val="TableRow"/>
            </w:pPr>
            <w:r>
              <w:t>My Happy Mind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E05E6" w14:textId="07DA077F" w:rsidR="002C3EA7" w:rsidRDefault="002C3EA7">
            <w:pPr>
              <w:pStyle w:val="TableRowCentered"/>
              <w:jc w:val="left"/>
            </w:pPr>
            <w:r>
              <w:t>NHS</w:t>
            </w:r>
          </w:p>
        </w:tc>
      </w:tr>
      <w:tr w:rsidR="009F3BF9" w14:paraId="1ECBD9E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A3D4A" w14:textId="0FE5EAA3" w:rsidR="009F3BF9" w:rsidRDefault="009F3BF9">
            <w:pPr>
              <w:pStyle w:val="TableRow"/>
            </w:pPr>
            <w:r>
              <w:t>Early Years Emotion Coaching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E0AA9" w14:textId="2D4D3AD2" w:rsidR="009F3BF9" w:rsidRDefault="009F3BF9">
            <w:pPr>
              <w:pStyle w:val="TableRowCentered"/>
              <w:jc w:val="left"/>
            </w:pPr>
            <w:r>
              <w:t>Emotion Coaching UK</w:t>
            </w:r>
          </w:p>
        </w:tc>
      </w:tr>
      <w:bookmarkEnd w:id="15"/>
      <w:bookmarkEnd w:id="16"/>
      <w:bookmarkEnd w:id="17"/>
    </w:tbl>
    <w:p w14:paraId="2A7D5564" w14:textId="77777777" w:rsidR="00E66558" w:rsidRDefault="00E66558"/>
    <w:sectPr w:rsidR="00E66558">
      <w:headerReference w:type="default" r:id="rId34"/>
      <w:footerReference w:type="default" r:id="rId3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523119" w:rsidRDefault="00523119">
      <w:pPr>
        <w:spacing w:after="0" w:line="240" w:lineRule="auto"/>
      </w:pPr>
      <w:r>
        <w:separator/>
      </w:r>
    </w:p>
  </w:endnote>
  <w:endnote w:type="continuationSeparator" w:id="0">
    <w:p w14:paraId="183EE776" w14:textId="77777777" w:rsidR="00523119" w:rsidRDefault="0052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3FB0D028" w:rsidR="00523119" w:rsidRDefault="00523119">
    <w:pPr>
      <w:pStyle w:val="Footer"/>
      <w:ind w:firstLine="4513"/>
    </w:pPr>
    <w:r>
      <w:fldChar w:fldCharType="begin"/>
    </w:r>
    <w:r>
      <w:instrText xml:space="preserve"> PAGE </w:instrText>
    </w:r>
    <w:r>
      <w:fldChar w:fldCharType="separate"/>
    </w:r>
    <w:r w:rsidR="00FB5CD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523119" w:rsidRDefault="00523119">
      <w:pPr>
        <w:spacing w:after="0" w:line="240" w:lineRule="auto"/>
      </w:pPr>
      <w:r>
        <w:separator/>
      </w:r>
    </w:p>
  </w:footnote>
  <w:footnote w:type="continuationSeparator" w:id="0">
    <w:p w14:paraId="5021A7ED" w14:textId="77777777" w:rsidR="00523119" w:rsidRDefault="0052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23119" w:rsidRDefault="0052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07E2"/>
    <w:multiLevelType w:val="multilevel"/>
    <w:tmpl w:val="3ECE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674B2"/>
    <w:multiLevelType w:val="multilevel"/>
    <w:tmpl w:val="4DCC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F0DEC"/>
    <w:multiLevelType w:val="multilevel"/>
    <w:tmpl w:val="90FE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C08F5"/>
    <w:multiLevelType w:val="hybridMultilevel"/>
    <w:tmpl w:val="4084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5A3D78"/>
    <w:multiLevelType w:val="hybridMultilevel"/>
    <w:tmpl w:val="AAB4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30B29"/>
    <w:multiLevelType w:val="multilevel"/>
    <w:tmpl w:val="9BFE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00AEC"/>
    <w:multiLevelType w:val="multilevel"/>
    <w:tmpl w:val="6BFA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53120"/>
    <w:multiLevelType w:val="multilevel"/>
    <w:tmpl w:val="A0E4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326220A"/>
    <w:multiLevelType w:val="hybridMultilevel"/>
    <w:tmpl w:val="FF06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FF21C2E"/>
    <w:multiLevelType w:val="hybridMultilevel"/>
    <w:tmpl w:val="6FBE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C043E"/>
    <w:multiLevelType w:val="hybridMultilevel"/>
    <w:tmpl w:val="E3747A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221BF"/>
    <w:multiLevelType w:val="hybridMultilevel"/>
    <w:tmpl w:val="A2007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5056413E"/>
    <w:multiLevelType w:val="multilevel"/>
    <w:tmpl w:val="3DD0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4696F"/>
    <w:multiLevelType w:val="hybridMultilevel"/>
    <w:tmpl w:val="1A44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97721"/>
    <w:multiLevelType w:val="multilevel"/>
    <w:tmpl w:val="FF7C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A7CBE"/>
    <w:multiLevelType w:val="hybridMultilevel"/>
    <w:tmpl w:val="22E86C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2844E6"/>
    <w:multiLevelType w:val="hybridMultilevel"/>
    <w:tmpl w:val="EB9A0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974AD"/>
    <w:multiLevelType w:val="multilevel"/>
    <w:tmpl w:val="A67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0806679"/>
    <w:multiLevelType w:val="hybridMultilevel"/>
    <w:tmpl w:val="18D6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10592"/>
    <w:multiLevelType w:val="hybridMultilevel"/>
    <w:tmpl w:val="AAF6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F249C"/>
    <w:multiLevelType w:val="hybridMultilevel"/>
    <w:tmpl w:val="4944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F6813"/>
    <w:multiLevelType w:val="multilevel"/>
    <w:tmpl w:val="CC82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68FF44BF"/>
    <w:multiLevelType w:val="multilevel"/>
    <w:tmpl w:val="4D94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6C8324C2"/>
    <w:multiLevelType w:val="hybridMultilevel"/>
    <w:tmpl w:val="E068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C2A03"/>
    <w:multiLevelType w:val="hybridMultilevel"/>
    <w:tmpl w:val="1654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6754687"/>
    <w:multiLevelType w:val="hybridMultilevel"/>
    <w:tmpl w:val="AA9CD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7495E"/>
    <w:multiLevelType w:val="multilevel"/>
    <w:tmpl w:val="E020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3"/>
  </w:num>
  <w:num w:numId="4">
    <w:abstractNumId w:val="14"/>
  </w:num>
  <w:num w:numId="5">
    <w:abstractNumId w:val="4"/>
  </w:num>
  <w:num w:numId="6">
    <w:abstractNumId w:val="18"/>
  </w:num>
  <w:num w:numId="7">
    <w:abstractNumId w:val="31"/>
  </w:num>
  <w:num w:numId="8">
    <w:abstractNumId w:val="38"/>
  </w:num>
  <w:num w:numId="9">
    <w:abstractNumId w:val="36"/>
  </w:num>
  <w:num w:numId="10">
    <w:abstractNumId w:val="33"/>
  </w:num>
  <w:num w:numId="11">
    <w:abstractNumId w:val="10"/>
  </w:num>
  <w:num w:numId="12">
    <w:abstractNumId w:val="37"/>
  </w:num>
  <w:num w:numId="13">
    <w:abstractNumId w:val="26"/>
  </w:num>
  <w:num w:numId="14">
    <w:abstractNumId w:val="17"/>
  </w:num>
  <w:num w:numId="15">
    <w:abstractNumId w:val="11"/>
  </w:num>
  <w:num w:numId="16">
    <w:abstractNumId w:val="27"/>
  </w:num>
  <w:num w:numId="17">
    <w:abstractNumId w:val="35"/>
  </w:num>
  <w:num w:numId="18">
    <w:abstractNumId w:val="39"/>
  </w:num>
  <w:num w:numId="19">
    <w:abstractNumId w:val="24"/>
  </w:num>
  <w:num w:numId="20">
    <w:abstractNumId w:val="22"/>
  </w:num>
  <w:num w:numId="21">
    <w:abstractNumId w:val="23"/>
  </w:num>
  <w:num w:numId="22">
    <w:abstractNumId w:val="20"/>
  </w:num>
  <w:num w:numId="23">
    <w:abstractNumId w:val="15"/>
  </w:num>
  <w:num w:numId="24">
    <w:abstractNumId w:val="34"/>
  </w:num>
  <w:num w:numId="25">
    <w:abstractNumId w:val="16"/>
  </w:num>
  <w:num w:numId="26">
    <w:abstractNumId w:val="28"/>
  </w:num>
  <w:num w:numId="27">
    <w:abstractNumId w:val="0"/>
  </w:num>
  <w:num w:numId="28">
    <w:abstractNumId w:val="40"/>
  </w:num>
  <w:num w:numId="29">
    <w:abstractNumId w:val="8"/>
  </w:num>
  <w:num w:numId="30">
    <w:abstractNumId w:val="1"/>
  </w:num>
  <w:num w:numId="31">
    <w:abstractNumId w:val="2"/>
  </w:num>
  <w:num w:numId="32">
    <w:abstractNumId w:val="21"/>
  </w:num>
  <w:num w:numId="33">
    <w:abstractNumId w:val="19"/>
  </w:num>
  <w:num w:numId="34">
    <w:abstractNumId w:val="25"/>
  </w:num>
  <w:num w:numId="35">
    <w:abstractNumId w:val="7"/>
  </w:num>
  <w:num w:numId="36">
    <w:abstractNumId w:val="30"/>
  </w:num>
  <w:num w:numId="37">
    <w:abstractNumId w:val="32"/>
  </w:num>
  <w:num w:numId="38">
    <w:abstractNumId w:val="6"/>
  </w:num>
  <w:num w:numId="39">
    <w:abstractNumId w:val="3"/>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4ACA"/>
    <w:rsid w:val="00066B73"/>
    <w:rsid w:val="0007616E"/>
    <w:rsid w:val="00102CC7"/>
    <w:rsid w:val="00120AB1"/>
    <w:rsid w:val="0016139F"/>
    <w:rsid w:val="00173AF5"/>
    <w:rsid w:val="001B32D1"/>
    <w:rsid w:val="001C0BEB"/>
    <w:rsid w:val="001D3DA1"/>
    <w:rsid w:val="002242D8"/>
    <w:rsid w:val="00263B5D"/>
    <w:rsid w:val="002C1619"/>
    <w:rsid w:val="002C3EA7"/>
    <w:rsid w:val="002D347E"/>
    <w:rsid w:val="002E18F0"/>
    <w:rsid w:val="002F6242"/>
    <w:rsid w:val="003047FB"/>
    <w:rsid w:val="00312877"/>
    <w:rsid w:val="00371543"/>
    <w:rsid w:val="004044AA"/>
    <w:rsid w:val="0041348B"/>
    <w:rsid w:val="00423B77"/>
    <w:rsid w:val="00465E08"/>
    <w:rsid w:val="0048659C"/>
    <w:rsid w:val="00495F6B"/>
    <w:rsid w:val="004A4C85"/>
    <w:rsid w:val="004D03D3"/>
    <w:rsid w:val="00523119"/>
    <w:rsid w:val="00591190"/>
    <w:rsid w:val="00594B68"/>
    <w:rsid w:val="005B66CC"/>
    <w:rsid w:val="005F19B9"/>
    <w:rsid w:val="006469C6"/>
    <w:rsid w:val="00667C25"/>
    <w:rsid w:val="0068191B"/>
    <w:rsid w:val="00690417"/>
    <w:rsid w:val="00691585"/>
    <w:rsid w:val="006E7FB1"/>
    <w:rsid w:val="00704E48"/>
    <w:rsid w:val="00741B9E"/>
    <w:rsid w:val="007C2F04"/>
    <w:rsid w:val="00817653"/>
    <w:rsid w:val="008363DF"/>
    <w:rsid w:val="008B199A"/>
    <w:rsid w:val="008B548F"/>
    <w:rsid w:val="008C57A0"/>
    <w:rsid w:val="008E333D"/>
    <w:rsid w:val="008E560E"/>
    <w:rsid w:val="008F5918"/>
    <w:rsid w:val="00942109"/>
    <w:rsid w:val="00946340"/>
    <w:rsid w:val="00951229"/>
    <w:rsid w:val="009560C7"/>
    <w:rsid w:val="00973042"/>
    <w:rsid w:val="009928F3"/>
    <w:rsid w:val="0099644C"/>
    <w:rsid w:val="009B50DC"/>
    <w:rsid w:val="009D71E8"/>
    <w:rsid w:val="009F3BF9"/>
    <w:rsid w:val="00A738F0"/>
    <w:rsid w:val="00AA107D"/>
    <w:rsid w:val="00AA69A4"/>
    <w:rsid w:val="00AE1289"/>
    <w:rsid w:val="00BA5ECF"/>
    <w:rsid w:val="00BB2FB5"/>
    <w:rsid w:val="00BB5D3B"/>
    <w:rsid w:val="00BC5104"/>
    <w:rsid w:val="00C44785"/>
    <w:rsid w:val="00C87D82"/>
    <w:rsid w:val="00C923FF"/>
    <w:rsid w:val="00CB2E3F"/>
    <w:rsid w:val="00CD66D8"/>
    <w:rsid w:val="00D01741"/>
    <w:rsid w:val="00D126BC"/>
    <w:rsid w:val="00D33FE5"/>
    <w:rsid w:val="00D4009F"/>
    <w:rsid w:val="00D627F3"/>
    <w:rsid w:val="00D62F0F"/>
    <w:rsid w:val="00D84D8B"/>
    <w:rsid w:val="00D97C65"/>
    <w:rsid w:val="00DB2040"/>
    <w:rsid w:val="00DD2556"/>
    <w:rsid w:val="00E20D89"/>
    <w:rsid w:val="00E269E7"/>
    <w:rsid w:val="00E45AF6"/>
    <w:rsid w:val="00E64E0C"/>
    <w:rsid w:val="00E66558"/>
    <w:rsid w:val="00E8087D"/>
    <w:rsid w:val="00EE1A1C"/>
    <w:rsid w:val="00EE7A3A"/>
    <w:rsid w:val="00F16BB5"/>
    <w:rsid w:val="00F25675"/>
    <w:rsid w:val="00F31477"/>
    <w:rsid w:val="00F47C9D"/>
    <w:rsid w:val="00F5710B"/>
    <w:rsid w:val="00F65301"/>
    <w:rsid w:val="00FA14A8"/>
    <w:rsid w:val="00FB5CD8"/>
    <w:rsid w:val="00FD33D1"/>
    <w:rsid w:val="00FE1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link w:val="NoSpacingChar"/>
    <w:uiPriority w:val="1"/>
    <w:qFormat/>
    <w:rsid w:val="00973042"/>
    <w:pPr>
      <w:autoSpaceDN/>
    </w:pPr>
    <w:rPr>
      <w:rFonts w:asciiTheme="minorHAnsi" w:eastAsiaTheme="minorHAnsi" w:hAnsiTheme="minorHAnsi" w:cstheme="minorBidi"/>
      <w:sz w:val="22"/>
      <w:szCs w:val="22"/>
      <w:lang w:eastAsia="en-US"/>
    </w:rPr>
  </w:style>
  <w:style w:type="table" w:styleId="TableGrid">
    <w:name w:val="Table Grid"/>
    <w:basedOn w:val="TableNormal"/>
    <w:uiPriority w:val="59"/>
    <w:rsid w:val="0099644C"/>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99644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evidence-summaries/teaching-learning-toolkit/teaching-assistants/" TargetMode="External"/><Relationship Id="rId26" Type="http://schemas.openxmlformats.org/officeDocument/2006/relationships/hyperlink" Target="https://educationendowmentfoundation.org.uk/evidence-summaries/teaching-learning-toolkit/oral-language-interventions/" TargetMode="External"/><Relationship Id="rId21" Type="http://schemas.openxmlformats.org/officeDocument/2006/relationships/hyperlink" Target="https://educationendowmentfoundation.org.uk/evidence-summaries/teaching-learning-toolkit/phonic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vidence-summaries/teaching-learning-toolkit/small-group-tuition/" TargetMode="External"/><Relationship Id="rId25" Type="http://schemas.openxmlformats.org/officeDocument/2006/relationships/hyperlink" Target="https://educationendowmentfoundation.org.uk/evidence-summaries/teaching-learning-toolkit/early-years-intervention/" TargetMode="External"/><Relationship Id="rId33" Type="http://schemas.openxmlformats.org/officeDocument/2006/relationships/hyperlink" Target="https://educationendowmentfoundation.org.uk/evidence-summaries/teaching-learning-toolkit/aspiration-interventions/" TargetMode="Externa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hyperlink" Target="https://educationendowmentfoundation.org.uk/evidence-summaries/teaching-learning-toolkit/meta-cognition-and-self-regulation/" TargetMode="External"/><Relationship Id="rId29" Type="http://schemas.openxmlformats.org/officeDocument/2006/relationships/hyperlink" Target="https://educationendowmentfoundation.org.uk/evidence-summaries/teaching-learning-toolkit/parental-eng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vidence-summaries/teaching-learning-toolkit/early-years-intervention/" TargetMode="External"/><Relationship Id="rId24" Type="http://schemas.openxmlformats.org/officeDocument/2006/relationships/hyperlink" Target="https://educationendowmentfoundation.org.uk/evidence-summaries/teaching-learning-toolkit/social-and-emotional-learning/" TargetMode="External"/><Relationship Id="rId32" Type="http://schemas.openxmlformats.org/officeDocument/2006/relationships/hyperlink" Target="https://educationendowmentfoundation.org.uk/evidence-summaries/teaching-learning-toolkit/school-unifor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endowmentfoundation.org.uk/evidence-summaries/teaching-learning-toolkit/collaborative-learning/" TargetMode="External"/><Relationship Id="rId23" Type="http://schemas.openxmlformats.org/officeDocument/2006/relationships/hyperlink" Target="https://educationendowmentfoundation.org.uk/evidence-summaries/teaching-learning-toolkit/sports-participation/" TargetMode="External"/><Relationship Id="rId28" Type="http://schemas.openxmlformats.org/officeDocument/2006/relationships/hyperlink" Target="https://educationendowmentfoundation.org.uk/evidence-summaries/teaching-learning-toolkit/social-and-emotional-learnin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endowmentfoundation.org.uk/evidence-summaries/teaching-learning-toolkit/feedback/" TargetMode="External"/><Relationship Id="rId31" Type="http://schemas.openxmlformats.org/officeDocument/2006/relationships/hyperlink" Target="https://educationendowmentfoundation.org.uk/evidence-summaries/teaching-learning-toolkit/social-and-emotional-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teaching-learning-toolkit/reading-comprehension-strategies/" TargetMode="External"/><Relationship Id="rId22" Type="http://schemas.openxmlformats.org/officeDocument/2006/relationships/hyperlink" Target="https://educationendowmentfoundation.org.uk/evidence-summaries/teaching-learning-toolkit/behaviour-interventions/" TargetMode="External"/><Relationship Id="rId27" Type="http://schemas.openxmlformats.org/officeDocument/2006/relationships/hyperlink" Target="https://educationendowmentfoundation.org.uk/evidence-summaries/teaching-learning-toolkit/behaviour-interventions/" TargetMode="External"/><Relationship Id="rId30" Type="http://schemas.openxmlformats.org/officeDocument/2006/relationships/hyperlink" Target="https://educationendowmentfoundation.org.uk/evidence-summaries/teaching-learning-toolkit/behaviour-intervention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7B690BC3EF04AAC5EE696250CAD5B" ma:contentTypeVersion="19" ma:contentTypeDescription="Create a new document." ma:contentTypeScope="" ma:versionID="2cf05d4649fd6cd3e491c9e960365f59">
  <xsd:schema xmlns:xsd="http://www.w3.org/2001/XMLSchema" xmlns:xs="http://www.w3.org/2001/XMLSchema" xmlns:p="http://schemas.microsoft.com/office/2006/metadata/properties" xmlns:ns3="1a217c13-2c38-44c0-ab0c-ffd98db1ea54" xmlns:ns4="92508eab-a4a0-4a8b-abdd-af07a01ddc92" targetNamespace="http://schemas.microsoft.com/office/2006/metadata/properties" ma:root="true" ma:fieldsID="25eb1e2c52a25bb5cd2fbc3775a87bd2" ns3:_="" ns4:_="">
    <xsd:import namespace="1a217c13-2c38-44c0-ab0c-ffd98db1ea54"/>
    <xsd:import namespace="92508eab-a4a0-4a8b-abdd-af07a01ddc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17c13-2c38-44c0-ab0c-ffd98db1e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08eab-a4a0-4a8b-abdd-af07a01ddc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217c13-2c38-44c0-ab0c-ffd98db1ea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167B-8A22-40EB-B9EB-0BF9EECF7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17c13-2c38-44c0-ab0c-ffd98db1ea54"/>
    <ds:schemaRef ds:uri="92508eab-a4a0-4a8b-abdd-af07a01dd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CD73F-6068-44CA-B481-6C8DD3E02A09}">
  <ds:schemaRefs>
    <ds:schemaRef ds:uri="http://schemas.microsoft.com/sharepoint/v3/contenttype/forms"/>
  </ds:schemaRefs>
</ds:datastoreItem>
</file>

<file path=customXml/itemProps3.xml><?xml version="1.0" encoding="utf-8"?>
<ds:datastoreItem xmlns:ds="http://schemas.openxmlformats.org/officeDocument/2006/customXml" ds:itemID="{953C0F4B-C726-4AB2-B44C-910211A4FF55}">
  <ds:schemaRefs>
    <ds:schemaRef ds:uri="http://www.w3.org/XML/1998/namespace"/>
    <ds:schemaRef ds:uri="http://purl.org/dc/terms/"/>
    <ds:schemaRef ds:uri="http://schemas.microsoft.com/office/2006/documentManagement/types"/>
    <ds:schemaRef ds:uri="http://purl.org/dc/elements/1.1/"/>
    <ds:schemaRef ds:uri="1a217c13-2c38-44c0-ab0c-ffd98db1ea54"/>
    <ds:schemaRef ds:uri="http://purl.org/dc/dcmitype/"/>
    <ds:schemaRef ds:uri="http://schemas.microsoft.com/office/infopath/2007/PartnerControls"/>
    <ds:schemaRef ds:uri="http://schemas.openxmlformats.org/package/2006/metadata/core-properties"/>
    <ds:schemaRef ds:uri="92508eab-a4a0-4a8b-abdd-af07a01ddc92"/>
    <ds:schemaRef ds:uri="http://schemas.microsoft.com/office/2006/metadata/properties"/>
  </ds:schemaRefs>
</ds:datastoreItem>
</file>

<file path=customXml/itemProps4.xml><?xml version="1.0" encoding="utf-8"?>
<ds:datastoreItem xmlns:ds="http://schemas.openxmlformats.org/officeDocument/2006/customXml" ds:itemID="{8AD624B7-90C1-4EE8-9E4E-7E0A9188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2749</Words>
  <Characters>15670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r.page@wvdomain.local</cp:lastModifiedBy>
  <cp:revision>2</cp:revision>
  <cp:lastPrinted>2014-09-17T13:26:00Z</cp:lastPrinted>
  <dcterms:created xsi:type="dcterms:W3CDTF">2026-01-05T10:57:00Z</dcterms:created>
  <dcterms:modified xsi:type="dcterms:W3CDTF">2026-01-05T10:57:00Z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0x0101002477B690BC3EF04AAC5EE696250CAD5B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